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D3639B" w:rsidRDefault="009A2283" w:rsidP="009A228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9A2283" w:rsidRPr="00D3639B" w:rsidRDefault="009A2283" w:rsidP="009A2283">
      <w:pPr>
        <w:autoSpaceDE w:val="0"/>
        <w:autoSpaceDN w:val="0"/>
        <w:adjustRightInd w:val="0"/>
        <w:spacing w:line="360" w:lineRule="auto"/>
        <w:jc w:val="left"/>
        <w:rPr>
          <w:rFonts w:eastAsiaTheme="minorEastAsia"/>
          <w:color w:val="000000" w:themeColor="text1"/>
          <w:kern w:val="0"/>
          <w:szCs w:val="21"/>
        </w:rPr>
      </w:pPr>
    </w:p>
    <w:p w:rsidR="00FC7F43" w:rsidRPr="00D3639B" w:rsidRDefault="00FC7F43" w:rsidP="009A2283">
      <w:pPr>
        <w:autoSpaceDE w:val="0"/>
        <w:autoSpaceDN w:val="0"/>
        <w:adjustRightInd w:val="0"/>
        <w:spacing w:line="360" w:lineRule="auto"/>
        <w:jc w:val="left"/>
        <w:rPr>
          <w:rFonts w:eastAsiaTheme="minorEastAsia"/>
          <w:color w:val="000000" w:themeColor="text1"/>
          <w:kern w:val="0"/>
          <w:szCs w:val="21"/>
        </w:rPr>
      </w:pPr>
    </w:p>
    <w:p w:rsidR="009A2283" w:rsidRPr="00D3639B" w:rsidRDefault="009A2283" w:rsidP="009A2283">
      <w:pPr>
        <w:autoSpaceDE w:val="0"/>
        <w:autoSpaceDN w:val="0"/>
        <w:adjustRightInd w:val="0"/>
        <w:spacing w:line="360" w:lineRule="auto"/>
        <w:jc w:val="left"/>
        <w:rPr>
          <w:rFonts w:eastAsiaTheme="minorEastAsia"/>
          <w:color w:val="000000" w:themeColor="text1"/>
          <w:kern w:val="0"/>
          <w:szCs w:val="21"/>
        </w:rPr>
      </w:pPr>
    </w:p>
    <w:p w:rsidR="009A2283" w:rsidRPr="00D3639B" w:rsidRDefault="009A2283" w:rsidP="009A2283">
      <w:pPr>
        <w:autoSpaceDE w:val="0"/>
        <w:autoSpaceDN w:val="0"/>
        <w:adjustRightInd w:val="0"/>
        <w:spacing w:line="360" w:lineRule="auto"/>
        <w:jc w:val="left"/>
        <w:rPr>
          <w:rFonts w:eastAsiaTheme="minorEastAsia"/>
          <w:color w:val="000000" w:themeColor="text1"/>
          <w:kern w:val="0"/>
          <w:szCs w:val="21"/>
        </w:rPr>
      </w:pPr>
    </w:p>
    <w:p w:rsidR="009A2283" w:rsidRPr="00D3639B" w:rsidRDefault="002D2A00" w:rsidP="00FC13C8">
      <w:pPr>
        <w:spacing w:line="360" w:lineRule="auto"/>
        <w:jc w:val="center"/>
        <w:rPr>
          <w:rFonts w:eastAsiaTheme="minorEastAsia"/>
          <w:b/>
          <w:color w:val="000000" w:themeColor="text1"/>
          <w:sz w:val="36"/>
          <w:szCs w:val="36"/>
        </w:rPr>
      </w:pPr>
      <w:r w:rsidRPr="00D3639B">
        <w:rPr>
          <w:rFonts w:eastAsiaTheme="minorEastAsia"/>
          <w:b/>
          <w:color w:val="000000" w:themeColor="text1"/>
          <w:sz w:val="36"/>
          <w:szCs w:val="36"/>
        </w:rPr>
        <w:t>易方达沪深</w:t>
      </w:r>
      <w:r w:rsidRPr="00D3639B">
        <w:rPr>
          <w:rFonts w:eastAsiaTheme="minorEastAsia"/>
          <w:b/>
          <w:color w:val="000000" w:themeColor="text1"/>
          <w:sz w:val="36"/>
          <w:szCs w:val="36"/>
        </w:rPr>
        <w:t>300</w:t>
      </w:r>
      <w:r w:rsidRPr="00D3639B">
        <w:rPr>
          <w:rFonts w:eastAsiaTheme="minorEastAsia"/>
          <w:b/>
          <w:color w:val="000000" w:themeColor="text1"/>
          <w:sz w:val="36"/>
          <w:szCs w:val="36"/>
        </w:rPr>
        <w:t>交易型开放式指数发起式证券投资基金联接基金</w:t>
      </w:r>
    </w:p>
    <w:p w:rsidR="002D2A00" w:rsidRPr="00D3639B" w:rsidRDefault="002D2A00" w:rsidP="00FC13C8">
      <w:pPr>
        <w:spacing w:line="360" w:lineRule="auto"/>
        <w:jc w:val="center"/>
        <w:rPr>
          <w:rFonts w:eastAsiaTheme="minorEastAsia"/>
          <w:b/>
          <w:color w:val="000000" w:themeColor="text1"/>
          <w:sz w:val="36"/>
          <w:szCs w:val="36"/>
        </w:rPr>
      </w:pPr>
      <w:r w:rsidRPr="00D3639B">
        <w:rPr>
          <w:rFonts w:eastAsiaTheme="minorEastAsia"/>
          <w:b/>
          <w:color w:val="000000" w:themeColor="text1"/>
          <w:sz w:val="36"/>
          <w:szCs w:val="36"/>
        </w:rPr>
        <w:t>2019</w:t>
      </w:r>
      <w:r w:rsidRPr="00D3639B">
        <w:rPr>
          <w:rFonts w:eastAsiaTheme="minorEastAsia"/>
          <w:b/>
          <w:color w:val="000000" w:themeColor="text1"/>
          <w:sz w:val="36"/>
          <w:szCs w:val="36"/>
        </w:rPr>
        <w:t>年第</w:t>
      </w:r>
      <w:r w:rsidRPr="00D3639B">
        <w:rPr>
          <w:rFonts w:eastAsiaTheme="minorEastAsia"/>
          <w:b/>
          <w:color w:val="000000" w:themeColor="text1"/>
          <w:sz w:val="36"/>
          <w:szCs w:val="36"/>
        </w:rPr>
        <w:t>4</w:t>
      </w:r>
      <w:r w:rsidRPr="00D3639B">
        <w:rPr>
          <w:rFonts w:eastAsiaTheme="minorEastAsia"/>
          <w:b/>
          <w:color w:val="000000" w:themeColor="text1"/>
          <w:sz w:val="36"/>
          <w:szCs w:val="36"/>
        </w:rPr>
        <w:t>季度报告</w:t>
      </w:r>
    </w:p>
    <w:p w:rsidR="009A2283" w:rsidRPr="00D3639B" w:rsidRDefault="00121533" w:rsidP="00FC13C8">
      <w:pPr>
        <w:spacing w:line="360" w:lineRule="auto"/>
        <w:jc w:val="center"/>
        <w:rPr>
          <w:rFonts w:eastAsiaTheme="minorEastAsia"/>
          <w:b/>
          <w:color w:val="000000" w:themeColor="text1"/>
          <w:sz w:val="36"/>
          <w:szCs w:val="36"/>
        </w:rPr>
      </w:pPr>
      <w:r w:rsidRPr="00D3639B">
        <w:rPr>
          <w:rFonts w:eastAsiaTheme="minorEastAsia"/>
          <w:b/>
          <w:color w:val="000000" w:themeColor="text1"/>
          <w:sz w:val="36"/>
          <w:szCs w:val="36"/>
        </w:rPr>
        <w:t>2019</w:t>
      </w:r>
      <w:r w:rsidRPr="00D3639B">
        <w:rPr>
          <w:rFonts w:eastAsiaTheme="minorEastAsia"/>
          <w:b/>
          <w:color w:val="000000" w:themeColor="text1"/>
          <w:sz w:val="36"/>
          <w:szCs w:val="36"/>
        </w:rPr>
        <w:t>年</w:t>
      </w:r>
      <w:r w:rsidRPr="00D3639B">
        <w:rPr>
          <w:rFonts w:eastAsiaTheme="minorEastAsia"/>
          <w:b/>
          <w:color w:val="000000" w:themeColor="text1"/>
          <w:sz w:val="36"/>
          <w:szCs w:val="36"/>
        </w:rPr>
        <w:t>12</w:t>
      </w:r>
      <w:r w:rsidRPr="00D3639B">
        <w:rPr>
          <w:rFonts w:eastAsiaTheme="minorEastAsia"/>
          <w:b/>
          <w:color w:val="000000" w:themeColor="text1"/>
          <w:sz w:val="36"/>
          <w:szCs w:val="36"/>
        </w:rPr>
        <w:t>月</w:t>
      </w:r>
      <w:r w:rsidRPr="00D3639B">
        <w:rPr>
          <w:rFonts w:eastAsiaTheme="minorEastAsia"/>
          <w:b/>
          <w:color w:val="000000" w:themeColor="text1"/>
          <w:sz w:val="36"/>
          <w:szCs w:val="36"/>
        </w:rPr>
        <w:t>31</w:t>
      </w:r>
      <w:r w:rsidRPr="00D3639B">
        <w:rPr>
          <w:rFonts w:eastAsiaTheme="minorEastAsia"/>
          <w:b/>
          <w:color w:val="000000" w:themeColor="text1"/>
          <w:sz w:val="36"/>
          <w:szCs w:val="36"/>
        </w:rPr>
        <w:t>日</w:t>
      </w: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E27360">
      <w:pPr>
        <w:spacing w:line="360" w:lineRule="auto"/>
        <w:jc w:val="center"/>
        <w:rPr>
          <w:rFonts w:eastAsiaTheme="minorEastAsia"/>
          <w:b/>
          <w:color w:val="000000" w:themeColor="text1"/>
          <w:szCs w:val="21"/>
        </w:rPr>
      </w:pPr>
    </w:p>
    <w:p w:rsidR="00E27360" w:rsidRPr="00D3639B" w:rsidRDefault="00E27360" w:rsidP="00E27360">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rPr>
          <w:rFonts w:eastAsiaTheme="minorEastAsia"/>
          <w:b/>
          <w:color w:val="000000" w:themeColor="text1"/>
          <w:szCs w:val="21"/>
        </w:rPr>
      </w:pPr>
    </w:p>
    <w:p w:rsidR="009A2283" w:rsidRPr="00D3639B" w:rsidRDefault="009A2283" w:rsidP="004B54B8">
      <w:pPr>
        <w:spacing w:line="360" w:lineRule="auto"/>
        <w:ind w:firstLineChars="900" w:firstLine="2168"/>
        <w:rPr>
          <w:rFonts w:eastAsiaTheme="minorEastAsia"/>
          <w:b/>
          <w:color w:val="000000" w:themeColor="text1"/>
          <w:sz w:val="24"/>
        </w:rPr>
      </w:pPr>
      <w:r w:rsidRPr="00D3639B">
        <w:rPr>
          <w:rFonts w:eastAsiaTheme="minorEastAsia"/>
          <w:b/>
          <w:color w:val="000000" w:themeColor="text1"/>
          <w:sz w:val="24"/>
        </w:rPr>
        <w:t>基金管理人：</w:t>
      </w:r>
      <w:r w:rsidR="00BF377F" w:rsidRPr="00D3639B">
        <w:rPr>
          <w:rFonts w:eastAsiaTheme="minorEastAsia"/>
          <w:b/>
          <w:color w:val="000000" w:themeColor="text1"/>
          <w:sz w:val="24"/>
        </w:rPr>
        <w:t>易方达基金管理有限公司</w:t>
      </w:r>
    </w:p>
    <w:p w:rsidR="009A2283" w:rsidRPr="00D3639B" w:rsidRDefault="009A2283" w:rsidP="004B54B8">
      <w:pPr>
        <w:spacing w:line="360" w:lineRule="auto"/>
        <w:ind w:firstLineChars="900" w:firstLine="2168"/>
        <w:rPr>
          <w:rFonts w:eastAsiaTheme="minorEastAsia"/>
          <w:b/>
          <w:color w:val="000000" w:themeColor="text1"/>
          <w:sz w:val="24"/>
        </w:rPr>
      </w:pPr>
      <w:r w:rsidRPr="00D3639B">
        <w:rPr>
          <w:rFonts w:eastAsiaTheme="minorEastAsia"/>
          <w:b/>
          <w:color w:val="000000" w:themeColor="text1"/>
          <w:sz w:val="24"/>
        </w:rPr>
        <w:t>基金托管人：</w:t>
      </w:r>
      <w:r w:rsidR="00BF377F" w:rsidRPr="00D3639B">
        <w:rPr>
          <w:rFonts w:eastAsiaTheme="minorEastAsia"/>
          <w:b/>
          <w:color w:val="000000" w:themeColor="text1"/>
          <w:sz w:val="24"/>
        </w:rPr>
        <w:t>中国建设银行股份有限公司</w:t>
      </w:r>
    </w:p>
    <w:p w:rsidR="009A2283" w:rsidRPr="00D3639B" w:rsidRDefault="009A2283" w:rsidP="004B54B8">
      <w:pPr>
        <w:spacing w:line="360" w:lineRule="auto"/>
        <w:ind w:firstLineChars="900" w:firstLine="2168"/>
        <w:rPr>
          <w:rFonts w:eastAsiaTheme="minorEastAsia"/>
          <w:color w:val="000000" w:themeColor="text1"/>
          <w:sz w:val="24"/>
        </w:rPr>
        <w:sectPr w:rsidR="009A2283" w:rsidRPr="00D3639B" w:rsidSect="00F7094A">
          <w:headerReference w:type="default" r:id="rId8"/>
          <w:footerReference w:type="default" r:id="rId9"/>
          <w:pgSz w:w="11926" w:h="15840"/>
          <w:pgMar w:top="1418" w:right="1418" w:bottom="851" w:left="1418" w:header="851" w:footer="992" w:gutter="0"/>
          <w:cols w:space="720"/>
          <w:noEndnote/>
        </w:sectPr>
      </w:pPr>
      <w:r w:rsidRPr="00D3639B">
        <w:rPr>
          <w:rFonts w:eastAsiaTheme="minorEastAsia"/>
          <w:b/>
          <w:color w:val="000000" w:themeColor="text1"/>
          <w:sz w:val="24"/>
        </w:rPr>
        <w:t>报告送出日期：</w:t>
      </w:r>
      <w:r w:rsidR="00D04410" w:rsidRPr="00D3639B">
        <w:rPr>
          <w:rFonts w:eastAsiaTheme="minorEastAsia"/>
          <w:b/>
          <w:color w:val="000000" w:themeColor="text1"/>
          <w:sz w:val="24"/>
        </w:rPr>
        <w:t>二〇二〇年一月十八日</w:t>
      </w:r>
    </w:p>
    <w:p w:rsidR="009238DB" w:rsidRPr="00B34368" w:rsidRDefault="009238DB" w:rsidP="00C544B8">
      <w:pPr>
        <w:pStyle w:val="1"/>
        <w:spacing w:beforeLines="100" w:before="312" w:afterLines="100" w:after="312" w:line="360" w:lineRule="auto"/>
        <w:jc w:val="center"/>
        <w:rPr>
          <w:rFonts w:eastAsiaTheme="minorEastAsia"/>
          <w:b w:val="0"/>
          <w:color w:val="000000" w:themeColor="text1"/>
          <w:kern w:val="0"/>
          <w:sz w:val="24"/>
          <w:szCs w:val="24"/>
        </w:rPr>
      </w:pPr>
      <w:r w:rsidRPr="00B34368">
        <w:rPr>
          <w:rFonts w:eastAsiaTheme="minorEastAsia"/>
          <w:color w:val="000000" w:themeColor="text1"/>
          <w:kern w:val="0"/>
          <w:sz w:val="24"/>
          <w:szCs w:val="24"/>
        </w:rPr>
        <w:lastRenderedPageBreak/>
        <w:t xml:space="preserve">§1  </w:t>
      </w:r>
      <w:r w:rsidRPr="00B34368">
        <w:rPr>
          <w:rFonts w:eastAsiaTheme="minorEastAsia" w:hAnsiTheme="minorEastAsia"/>
          <w:color w:val="000000" w:themeColor="text1"/>
          <w:kern w:val="0"/>
          <w:sz w:val="24"/>
          <w:szCs w:val="24"/>
        </w:rPr>
        <w:t>重要提示</w:t>
      </w:r>
    </w:p>
    <w:p w:rsidR="003C69C1" w:rsidRDefault="008901F2">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 w:val="24"/>
        </w:rPr>
        <w:t xml:space="preserve"> </w:t>
      </w:r>
    </w:p>
    <w:p w:rsidR="003C69C1" w:rsidRDefault="008901F2">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基金托管人中国建设银行股份有限公司根据本基金合同规定，于</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1</w:t>
      </w:r>
      <w:r>
        <w:rPr>
          <w:rFonts w:eastAsiaTheme="minorEastAsia"/>
          <w:color w:val="000000" w:themeColor="text1"/>
          <w:sz w:val="24"/>
        </w:rPr>
        <w:t>月</w:t>
      </w:r>
      <w:r>
        <w:rPr>
          <w:rFonts w:eastAsiaTheme="minorEastAsia"/>
          <w:color w:val="000000" w:themeColor="text1"/>
          <w:sz w:val="24"/>
        </w:rPr>
        <w:t>16</w:t>
      </w:r>
      <w:r>
        <w:rPr>
          <w:rFonts w:eastAsiaTheme="minorEastAsia"/>
          <w:color w:val="000000" w:themeColor="text1"/>
          <w:sz w:val="24"/>
        </w:rPr>
        <w:t>日复核了本报告中的财务指标、净值表现和投资组合报告等内容，保证复核内容不存在虚假记载、误导性陈述或者重大遗漏。</w:t>
      </w:r>
      <w:r>
        <w:rPr>
          <w:rFonts w:eastAsiaTheme="minorEastAsia"/>
          <w:color w:val="000000" w:themeColor="text1"/>
          <w:sz w:val="24"/>
        </w:rPr>
        <w:t xml:space="preserve"> </w:t>
      </w:r>
    </w:p>
    <w:p w:rsidR="003C69C1" w:rsidRDefault="008901F2">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基金管理人承诺以诚实信用、勤勉尽责的原则管理和运用基金资产，但不保证基金一定盈利。</w:t>
      </w:r>
      <w:r>
        <w:rPr>
          <w:rFonts w:eastAsiaTheme="minorEastAsia"/>
          <w:color w:val="000000" w:themeColor="text1"/>
          <w:sz w:val="24"/>
        </w:rPr>
        <w:t xml:space="preserve"> </w:t>
      </w:r>
    </w:p>
    <w:p w:rsidR="003C69C1" w:rsidRDefault="008901F2">
      <w:pPr>
        <w:spacing w:line="360" w:lineRule="auto"/>
        <w:ind w:firstLineChars="200" w:firstLine="480"/>
        <w:rPr>
          <w:rFonts w:eastAsiaTheme="minorEastAsia"/>
          <w:color w:val="000000" w:themeColor="text1"/>
          <w:sz w:val="24"/>
        </w:rPr>
      </w:pPr>
      <w:r>
        <w:rPr>
          <w:rFonts w:eastAsiaTheme="minorEastAsia"/>
          <w:color w:val="000000" w:themeColor="text1"/>
          <w:sz w:val="24"/>
        </w:rPr>
        <w:t>基金</w:t>
      </w:r>
      <w:r>
        <w:rPr>
          <w:rFonts w:eastAsiaTheme="minorEastAsia"/>
          <w:color w:val="000000" w:themeColor="text1"/>
          <w:sz w:val="24"/>
        </w:rPr>
        <w:t>的过往业绩并不代表其未来表现。投资有风险，投资者在作出投资决策前应仔细阅读本基金的招募说明书。</w:t>
      </w:r>
      <w:r>
        <w:rPr>
          <w:rFonts w:eastAsiaTheme="minorEastAsia"/>
          <w:color w:val="000000" w:themeColor="text1"/>
          <w:sz w:val="24"/>
        </w:rPr>
        <w:t xml:space="preserve"> </w:t>
      </w:r>
    </w:p>
    <w:p w:rsidR="003C69C1" w:rsidRDefault="008901F2">
      <w:pPr>
        <w:spacing w:line="360" w:lineRule="auto"/>
        <w:ind w:firstLineChars="200" w:firstLine="480"/>
        <w:rPr>
          <w:rFonts w:eastAsiaTheme="minorEastAsia"/>
          <w:color w:val="000000" w:themeColor="text1"/>
          <w:sz w:val="24"/>
        </w:rPr>
      </w:pPr>
      <w:r>
        <w:rPr>
          <w:rFonts w:eastAsiaTheme="minorEastAsia"/>
          <w:color w:val="000000" w:themeColor="text1"/>
          <w:sz w:val="24"/>
        </w:rPr>
        <w:t>本报告中财务资料未经审计。</w:t>
      </w:r>
    </w:p>
    <w:p w:rsidR="009238DB" w:rsidRPr="00B34368" w:rsidRDefault="00267DA9"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本报告期自</w:t>
      </w:r>
      <w:r w:rsidRPr="00B34368">
        <w:rPr>
          <w:rFonts w:eastAsiaTheme="minorEastAsia"/>
          <w:color w:val="000000" w:themeColor="text1"/>
          <w:sz w:val="24"/>
        </w:rPr>
        <w:t>2019</w:t>
      </w:r>
      <w:r w:rsidRPr="00B34368">
        <w:rPr>
          <w:rFonts w:eastAsiaTheme="minorEastAsia"/>
          <w:color w:val="000000" w:themeColor="text1"/>
          <w:sz w:val="24"/>
        </w:rPr>
        <w:t>年</w:t>
      </w:r>
      <w:r w:rsidRPr="00B34368">
        <w:rPr>
          <w:rFonts w:eastAsiaTheme="minorEastAsia"/>
          <w:color w:val="000000" w:themeColor="text1"/>
          <w:sz w:val="24"/>
        </w:rPr>
        <w:t>10</w:t>
      </w:r>
      <w:r w:rsidRPr="00B34368">
        <w:rPr>
          <w:rFonts w:eastAsiaTheme="minorEastAsia"/>
          <w:color w:val="000000" w:themeColor="text1"/>
          <w:sz w:val="24"/>
        </w:rPr>
        <w:t>月</w:t>
      </w:r>
      <w:r w:rsidRPr="00B34368">
        <w:rPr>
          <w:rFonts w:eastAsiaTheme="minorEastAsia"/>
          <w:color w:val="000000" w:themeColor="text1"/>
          <w:sz w:val="24"/>
        </w:rPr>
        <w:t>1</w:t>
      </w:r>
      <w:r w:rsidRPr="00B34368">
        <w:rPr>
          <w:rFonts w:eastAsiaTheme="minorEastAsia"/>
          <w:color w:val="000000" w:themeColor="text1"/>
          <w:sz w:val="24"/>
        </w:rPr>
        <w:t>日起至</w:t>
      </w:r>
      <w:r w:rsidRPr="00B34368">
        <w:rPr>
          <w:rFonts w:eastAsiaTheme="minorEastAsia"/>
          <w:color w:val="000000" w:themeColor="text1"/>
          <w:sz w:val="24"/>
        </w:rPr>
        <w:t>12</w:t>
      </w:r>
      <w:r w:rsidRPr="00B34368">
        <w:rPr>
          <w:rFonts w:eastAsiaTheme="minorEastAsia"/>
          <w:color w:val="000000" w:themeColor="text1"/>
          <w:sz w:val="24"/>
        </w:rPr>
        <w:t>月</w:t>
      </w:r>
      <w:r w:rsidRPr="00B34368">
        <w:rPr>
          <w:rFonts w:eastAsiaTheme="minorEastAsia"/>
          <w:color w:val="000000" w:themeColor="text1"/>
          <w:sz w:val="24"/>
        </w:rPr>
        <w:t>31</w:t>
      </w:r>
      <w:r w:rsidRPr="00B34368">
        <w:rPr>
          <w:rFonts w:eastAsiaTheme="minorEastAsia"/>
          <w:color w:val="000000" w:themeColor="text1"/>
          <w:sz w:val="24"/>
        </w:rPr>
        <w:t>日止。</w:t>
      </w:r>
    </w:p>
    <w:p w:rsidR="009238DB" w:rsidRPr="00B34368" w:rsidRDefault="009238DB" w:rsidP="00C544B8">
      <w:pPr>
        <w:pStyle w:val="1"/>
        <w:spacing w:beforeLines="100" w:before="312" w:afterLines="100" w:after="312" w:line="360" w:lineRule="auto"/>
        <w:jc w:val="center"/>
        <w:rPr>
          <w:rFonts w:eastAsiaTheme="minorEastAsia"/>
          <w:color w:val="000000" w:themeColor="text1"/>
          <w:kern w:val="0"/>
          <w:sz w:val="24"/>
          <w:szCs w:val="24"/>
        </w:rPr>
      </w:pPr>
      <w:r w:rsidRPr="00B34368">
        <w:rPr>
          <w:rFonts w:eastAsiaTheme="minorEastAsia"/>
          <w:color w:val="000000" w:themeColor="text1"/>
          <w:kern w:val="0"/>
          <w:sz w:val="24"/>
          <w:szCs w:val="24"/>
        </w:rPr>
        <w:t xml:space="preserve">§2  </w:t>
      </w:r>
      <w:r w:rsidRPr="00B34368">
        <w:rPr>
          <w:rFonts w:eastAsiaTheme="minorEastAsia" w:hAnsiTheme="minorEastAsia"/>
          <w:color w:val="000000" w:themeColor="text1"/>
          <w:kern w:val="0"/>
          <w:sz w:val="24"/>
          <w:szCs w:val="24"/>
        </w:rPr>
        <w:t>基金产品概况</w:t>
      </w:r>
    </w:p>
    <w:p w:rsidR="002C32ED" w:rsidRPr="00B34368" w:rsidRDefault="002C32ED" w:rsidP="002C32ED">
      <w:pPr>
        <w:pStyle w:val="2"/>
        <w:keepNext w:val="0"/>
        <w:keepLines w:val="0"/>
        <w:spacing w:before="0" w:after="0"/>
        <w:rPr>
          <w:rFonts w:ascii="Times New Roman" w:eastAsiaTheme="minorEastAsia" w:hAnsi="Times New Roman" w:cs="Times New Roman"/>
          <w:color w:val="000000" w:themeColor="text1"/>
          <w:szCs w:val="24"/>
        </w:rPr>
      </w:pPr>
      <w:bookmarkStart w:id="1" w:name="_Toc245193810"/>
      <w:r w:rsidRPr="00B34368">
        <w:rPr>
          <w:rFonts w:ascii="Times New Roman" w:eastAsiaTheme="minorEastAsia" w:hAnsi="Times New Roman" w:cs="Times New Roman"/>
          <w:color w:val="000000" w:themeColor="text1"/>
          <w:szCs w:val="24"/>
        </w:rPr>
        <w:t>2.1</w:t>
      </w:r>
      <w:r w:rsidRPr="00B34368">
        <w:rPr>
          <w:rFonts w:ascii="Times New Roman" w:eastAsiaTheme="minorEastAsia" w:hAnsiTheme="minorEastAsia" w:cs="Times New Roman"/>
          <w:color w:val="000000" w:themeColor="text1"/>
          <w:szCs w:val="24"/>
        </w:rPr>
        <w:t>基金产品概况</w:t>
      </w:r>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739"/>
        <w:gridCol w:w="2740"/>
      </w:tblGrid>
      <w:tr w:rsidR="00D3639B" w:rsidRPr="00B34368" w:rsidTr="00950413">
        <w:tc>
          <w:tcPr>
            <w:tcW w:w="2835" w:type="dxa"/>
          </w:tcPr>
          <w:p w:rsidR="00A6200E" w:rsidRPr="00B34368" w:rsidRDefault="00A6200E" w:rsidP="00E205AA">
            <w:pPr>
              <w:adjustRightInd w:val="0"/>
              <w:spacing w:before="29" w:line="360" w:lineRule="auto"/>
              <w:ind w:left="17"/>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基金简称</w:t>
            </w:r>
          </w:p>
        </w:tc>
        <w:tc>
          <w:tcPr>
            <w:tcW w:w="5479" w:type="dxa"/>
            <w:gridSpan w:val="2"/>
          </w:tcPr>
          <w:p w:rsidR="00A6200E" w:rsidRPr="00B34368" w:rsidRDefault="00A6200E" w:rsidP="00E205AA">
            <w:pPr>
              <w:adjustRightInd w:val="0"/>
              <w:spacing w:before="29" w:line="360" w:lineRule="auto"/>
              <w:ind w:left="17"/>
              <w:jc w:val="left"/>
              <w:rPr>
                <w:rFonts w:eastAsiaTheme="minorEastAsia"/>
                <w:color w:val="000000" w:themeColor="text1"/>
                <w:kern w:val="0"/>
                <w:sz w:val="24"/>
              </w:rPr>
            </w:pPr>
            <w:r w:rsidRPr="00B34368">
              <w:rPr>
                <w:rFonts w:eastAsiaTheme="minorEastAsia"/>
                <w:color w:val="000000" w:themeColor="text1"/>
                <w:kern w:val="0"/>
                <w:sz w:val="24"/>
              </w:rPr>
              <w:t>易方达沪深</w:t>
            </w:r>
            <w:r w:rsidRPr="00B34368">
              <w:rPr>
                <w:rFonts w:eastAsiaTheme="minorEastAsia"/>
                <w:color w:val="000000" w:themeColor="text1"/>
                <w:kern w:val="0"/>
                <w:sz w:val="24"/>
              </w:rPr>
              <w:t>300ETF</w:t>
            </w:r>
            <w:r w:rsidRPr="00B34368">
              <w:rPr>
                <w:rFonts w:eastAsiaTheme="minorEastAsia"/>
                <w:color w:val="000000" w:themeColor="text1"/>
                <w:kern w:val="0"/>
                <w:sz w:val="24"/>
              </w:rPr>
              <w:t>发起式联接</w:t>
            </w:r>
          </w:p>
        </w:tc>
      </w:tr>
      <w:tr w:rsidR="00D3639B" w:rsidRPr="00B34368" w:rsidTr="00AA7EBD">
        <w:tc>
          <w:tcPr>
            <w:tcW w:w="2835" w:type="dxa"/>
          </w:tcPr>
          <w:p w:rsidR="00B95753" w:rsidRPr="00B34368" w:rsidRDefault="00B95753" w:rsidP="00E205AA">
            <w:pPr>
              <w:adjustRightInd w:val="0"/>
              <w:spacing w:before="29" w:line="360" w:lineRule="auto"/>
              <w:ind w:left="17"/>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基金主代码</w:t>
            </w:r>
          </w:p>
        </w:tc>
        <w:tc>
          <w:tcPr>
            <w:tcW w:w="5479" w:type="dxa"/>
            <w:gridSpan w:val="2"/>
            <w:tcBorders>
              <w:bottom w:val="single" w:sz="4" w:space="0" w:color="auto"/>
            </w:tcBorders>
          </w:tcPr>
          <w:p w:rsidR="00B95753" w:rsidRPr="00B34368" w:rsidRDefault="00B95753" w:rsidP="00E205AA">
            <w:pPr>
              <w:adjustRightInd w:val="0"/>
              <w:spacing w:before="29" w:line="360" w:lineRule="auto"/>
              <w:ind w:left="17"/>
              <w:jc w:val="left"/>
              <w:rPr>
                <w:rFonts w:eastAsiaTheme="minorEastAsia"/>
                <w:color w:val="000000" w:themeColor="text1"/>
                <w:kern w:val="0"/>
                <w:sz w:val="24"/>
              </w:rPr>
            </w:pPr>
            <w:r w:rsidRPr="00B34368">
              <w:rPr>
                <w:rFonts w:eastAsiaTheme="minorEastAsia"/>
                <w:color w:val="000000" w:themeColor="text1"/>
                <w:kern w:val="0"/>
                <w:sz w:val="24"/>
              </w:rPr>
              <w:t>110020</w:t>
            </w:r>
          </w:p>
        </w:tc>
      </w:tr>
      <w:tr w:rsidR="00D3639B" w:rsidRPr="00B34368" w:rsidTr="00AA7EBD">
        <w:tc>
          <w:tcPr>
            <w:tcW w:w="2835" w:type="dxa"/>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t>基金运作方式</w:t>
            </w:r>
          </w:p>
        </w:tc>
        <w:tc>
          <w:tcPr>
            <w:tcW w:w="5479" w:type="dxa"/>
            <w:gridSpan w:val="2"/>
            <w:tcBorders>
              <w:top w:val="single" w:sz="4" w:space="0" w:color="auto"/>
            </w:tcBorders>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color w:val="000000" w:themeColor="text1"/>
                <w:kern w:val="0"/>
                <w:sz w:val="24"/>
              </w:rPr>
              <w:t>契约型开放式</w:t>
            </w:r>
          </w:p>
        </w:tc>
      </w:tr>
      <w:tr w:rsidR="00D3639B" w:rsidRPr="00B34368" w:rsidTr="00950413">
        <w:tc>
          <w:tcPr>
            <w:tcW w:w="2835" w:type="dxa"/>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t>基金合同生效日</w:t>
            </w:r>
          </w:p>
        </w:tc>
        <w:tc>
          <w:tcPr>
            <w:tcW w:w="5479" w:type="dxa"/>
            <w:gridSpan w:val="2"/>
          </w:tcPr>
          <w:p w:rsidR="00A6200E" w:rsidRPr="00B34368" w:rsidRDefault="00121533" w:rsidP="00121533">
            <w:pPr>
              <w:adjustRightInd w:val="0"/>
              <w:spacing w:before="29" w:line="360" w:lineRule="auto"/>
              <w:ind w:left="17"/>
              <w:jc w:val="left"/>
              <w:rPr>
                <w:rFonts w:eastAsiaTheme="minorEastAsia"/>
                <w:color w:val="000000" w:themeColor="text1"/>
                <w:kern w:val="0"/>
                <w:sz w:val="24"/>
              </w:rPr>
            </w:pPr>
            <w:r w:rsidRPr="00B34368">
              <w:rPr>
                <w:rFonts w:eastAsiaTheme="minorEastAsia"/>
                <w:color w:val="000000" w:themeColor="text1"/>
                <w:kern w:val="0"/>
                <w:sz w:val="24"/>
              </w:rPr>
              <w:t>2009</w:t>
            </w:r>
            <w:r w:rsidRPr="00B34368">
              <w:rPr>
                <w:rFonts w:eastAsiaTheme="minorEastAsia"/>
                <w:color w:val="000000" w:themeColor="text1"/>
                <w:kern w:val="0"/>
                <w:sz w:val="24"/>
              </w:rPr>
              <w:t>年</w:t>
            </w:r>
            <w:r w:rsidRPr="00B34368">
              <w:rPr>
                <w:rFonts w:eastAsiaTheme="minorEastAsia"/>
                <w:color w:val="000000" w:themeColor="text1"/>
                <w:kern w:val="0"/>
                <w:sz w:val="24"/>
              </w:rPr>
              <w:t>8</w:t>
            </w:r>
            <w:r w:rsidRPr="00B34368">
              <w:rPr>
                <w:rFonts w:eastAsiaTheme="minorEastAsia"/>
                <w:color w:val="000000" w:themeColor="text1"/>
                <w:kern w:val="0"/>
                <w:sz w:val="24"/>
              </w:rPr>
              <w:t>月</w:t>
            </w:r>
            <w:r w:rsidRPr="00B34368">
              <w:rPr>
                <w:rFonts w:eastAsiaTheme="minorEastAsia"/>
                <w:color w:val="000000" w:themeColor="text1"/>
                <w:kern w:val="0"/>
                <w:sz w:val="24"/>
              </w:rPr>
              <w:t>26</w:t>
            </w:r>
            <w:r w:rsidRPr="00B34368">
              <w:rPr>
                <w:rFonts w:eastAsiaTheme="minorEastAsia"/>
                <w:color w:val="000000" w:themeColor="text1"/>
                <w:kern w:val="0"/>
                <w:sz w:val="24"/>
              </w:rPr>
              <w:t>日</w:t>
            </w:r>
          </w:p>
        </w:tc>
      </w:tr>
      <w:tr w:rsidR="00D3639B" w:rsidRPr="00B34368" w:rsidTr="00950413">
        <w:tc>
          <w:tcPr>
            <w:tcW w:w="2835" w:type="dxa"/>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t>报告期末基金份额总额</w:t>
            </w:r>
          </w:p>
        </w:tc>
        <w:tc>
          <w:tcPr>
            <w:tcW w:w="5479" w:type="dxa"/>
            <w:gridSpan w:val="2"/>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color w:val="000000" w:themeColor="text1"/>
                <w:kern w:val="0"/>
                <w:sz w:val="24"/>
              </w:rPr>
              <w:t>4,922,561,619.28</w:t>
            </w:r>
            <w:r w:rsidR="0060758A" w:rsidRPr="00B34368">
              <w:rPr>
                <w:rFonts w:eastAsiaTheme="minorEastAsia" w:hAnsiTheme="minorEastAsia"/>
                <w:color w:val="000000" w:themeColor="text1"/>
                <w:kern w:val="0"/>
                <w:sz w:val="24"/>
              </w:rPr>
              <w:t>份</w:t>
            </w:r>
          </w:p>
        </w:tc>
      </w:tr>
      <w:tr w:rsidR="00D3639B" w:rsidRPr="00B34368" w:rsidTr="00950413">
        <w:tc>
          <w:tcPr>
            <w:tcW w:w="2835" w:type="dxa"/>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t>投资目标</w:t>
            </w:r>
          </w:p>
        </w:tc>
        <w:tc>
          <w:tcPr>
            <w:tcW w:w="5479" w:type="dxa"/>
            <w:gridSpan w:val="2"/>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color w:val="000000" w:themeColor="text1"/>
                <w:kern w:val="0"/>
                <w:sz w:val="24"/>
              </w:rPr>
              <w:t>紧密跟踪业绩比较基准，追求跟踪偏离度及跟踪误差的最小化。</w:t>
            </w:r>
          </w:p>
        </w:tc>
      </w:tr>
      <w:tr w:rsidR="00D3639B" w:rsidRPr="00B34368" w:rsidTr="00950413">
        <w:tc>
          <w:tcPr>
            <w:tcW w:w="2835" w:type="dxa"/>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t>投资策略</w:t>
            </w:r>
          </w:p>
        </w:tc>
        <w:tc>
          <w:tcPr>
            <w:tcW w:w="5479" w:type="dxa"/>
            <w:gridSpan w:val="2"/>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color w:val="000000" w:themeColor="text1"/>
                <w:kern w:val="0"/>
                <w:sz w:val="24"/>
              </w:rPr>
              <w:t>本基金主要通过投资于目标</w:t>
            </w:r>
            <w:r w:rsidRPr="00B34368">
              <w:rPr>
                <w:rFonts w:eastAsiaTheme="minorEastAsia"/>
                <w:color w:val="000000" w:themeColor="text1"/>
                <w:kern w:val="0"/>
                <w:sz w:val="24"/>
              </w:rPr>
              <w:t>ETF</w:t>
            </w:r>
            <w:r w:rsidRPr="00B34368">
              <w:rPr>
                <w:rFonts w:eastAsiaTheme="minorEastAsia"/>
                <w:color w:val="000000" w:themeColor="text1"/>
                <w:kern w:val="0"/>
                <w:sz w:val="24"/>
              </w:rPr>
              <w:t>实现对业绩比较基准的紧密跟踪，本基金投资于目标</w:t>
            </w:r>
            <w:r w:rsidRPr="00B34368">
              <w:rPr>
                <w:rFonts w:eastAsiaTheme="minorEastAsia"/>
                <w:color w:val="000000" w:themeColor="text1"/>
                <w:kern w:val="0"/>
                <w:sz w:val="24"/>
              </w:rPr>
              <w:t xml:space="preserve">ETF </w:t>
            </w:r>
            <w:r w:rsidRPr="00B34368">
              <w:rPr>
                <w:rFonts w:eastAsiaTheme="minorEastAsia"/>
                <w:color w:val="000000" w:themeColor="text1"/>
                <w:kern w:val="0"/>
                <w:sz w:val="24"/>
              </w:rPr>
              <w:t>的比例不低于基金资产净值的</w:t>
            </w:r>
            <w:r w:rsidRPr="00B34368">
              <w:rPr>
                <w:rFonts w:eastAsiaTheme="minorEastAsia"/>
                <w:color w:val="000000" w:themeColor="text1"/>
                <w:kern w:val="0"/>
                <w:sz w:val="24"/>
              </w:rPr>
              <w:t>90%</w:t>
            </w:r>
            <w:r w:rsidRPr="00B34368">
              <w:rPr>
                <w:rFonts w:eastAsiaTheme="minorEastAsia"/>
                <w:color w:val="000000" w:themeColor="text1"/>
                <w:kern w:val="0"/>
                <w:sz w:val="24"/>
              </w:rPr>
              <w:t>。在综合考虑合规、风险、效率、成本等因素的基础上，本基金决定采用申赎的方式或证券二级市场交易的方式进行目标</w:t>
            </w:r>
            <w:r w:rsidRPr="00B34368">
              <w:rPr>
                <w:rFonts w:eastAsiaTheme="minorEastAsia"/>
                <w:color w:val="000000" w:themeColor="text1"/>
                <w:kern w:val="0"/>
                <w:sz w:val="24"/>
              </w:rPr>
              <w:lastRenderedPageBreak/>
              <w:t xml:space="preserve">ETF </w:t>
            </w:r>
            <w:r w:rsidRPr="00B34368">
              <w:rPr>
                <w:rFonts w:eastAsiaTheme="minorEastAsia"/>
                <w:color w:val="000000" w:themeColor="text1"/>
                <w:kern w:val="0"/>
                <w:sz w:val="24"/>
              </w:rPr>
              <w:t>的买卖。本基金还可适度参与目标</w:t>
            </w:r>
            <w:r w:rsidRPr="00B34368">
              <w:rPr>
                <w:rFonts w:eastAsiaTheme="minorEastAsia"/>
                <w:color w:val="000000" w:themeColor="text1"/>
                <w:kern w:val="0"/>
                <w:sz w:val="24"/>
              </w:rPr>
              <w:t xml:space="preserve">ETF </w:t>
            </w:r>
            <w:r w:rsidRPr="00B34368">
              <w:rPr>
                <w:rFonts w:eastAsiaTheme="minorEastAsia"/>
                <w:color w:val="000000" w:themeColor="text1"/>
                <w:kern w:val="0"/>
                <w:sz w:val="24"/>
              </w:rPr>
              <w:t>基金份额交易和申购、赎回之间的套利，以增强基金收益。在正常市场情况下，力争将年化跟踪误差控制在</w:t>
            </w:r>
            <w:r w:rsidRPr="00B34368">
              <w:rPr>
                <w:rFonts w:eastAsiaTheme="minorEastAsia"/>
                <w:color w:val="000000" w:themeColor="text1"/>
                <w:kern w:val="0"/>
                <w:sz w:val="24"/>
              </w:rPr>
              <w:t>4%</w:t>
            </w:r>
            <w:r w:rsidRPr="00B34368">
              <w:rPr>
                <w:rFonts w:eastAsiaTheme="minorEastAsia"/>
                <w:color w:val="000000" w:themeColor="text1"/>
                <w:kern w:val="0"/>
                <w:sz w:val="24"/>
              </w:rPr>
              <w:t>以内。如因标的指数编制规则调整或其他因素导致跟踪误差超过上述范围，基金管理人应采取合理措施避免跟踪误差进一步扩大。</w:t>
            </w:r>
          </w:p>
        </w:tc>
      </w:tr>
      <w:tr w:rsidR="00D3639B" w:rsidRPr="00B34368" w:rsidTr="00950413">
        <w:tc>
          <w:tcPr>
            <w:tcW w:w="2835" w:type="dxa"/>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lastRenderedPageBreak/>
              <w:t>业绩比较基准</w:t>
            </w:r>
          </w:p>
        </w:tc>
        <w:tc>
          <w:tcPr>
            <w:tcW w:w="5479" w:type="dxa"/>
            <w:gridSpan w:val="2"/>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color w:val="000000" w:themeColor="text1"/>
                <w:kern w:val="0"/>
                <w:sz w:val="24"/>
              </w:rPr>
              <w:t>沪深</w:t>
            </w:r>
            <w:r w:rsidRPr="00B34368">
              <w:rPr>
                <w:rFonts w:eastAsiaTheme="minorEastAsia"/>
                <w:color w:val="000000" w:themeColor="text1"/>
                <w:kern w:val="0"/>
                <w:sz w:val="24"/>
              </w:rPr>
              <w:t>300</w:t>
            </w:r>
            <w:r w:rsidRPr="00B34368">
              <w:rPr>
                <w:rFonts w:eastAsiaTheme="minorEastAsia"/>
                <w:color w:val="000000" w:themeColor="text1"/>
                <w:kern w:val="0"/>
                <w:sz w:val="24"/>
              </w:rPr>
              <w:t>指数收益率</w:t>
            </w:r>
            <w:r w:rsidRPr="00B34368">
              <w:rPr>
                <w:rFonts w:eastAsiaTheme="minorEastAsia"/>
                <w:color w:val="000000" w:themeColor="text1"/>
                <w:kern w:val="0"/>
                <w:sz w:val="24"/>
              </w:rPr>
              <w:t>X95%+</w:t>
            </w:r>
            <w:r w:rsidRPr="00B34368">
              <w:rPr>
                <w:rFonts w:eastAsiaTheme="minorEastAsia"/>
                <w:color w:val="000000" w:themeColor="text1"/>
                <w:kern w:val="0"/>
                <w:sz w:val="24"/>
              </w:rPr>
              <w:t>活期存款利率</w:t>
            </w:r>
            <w:r w:rsidRPr="00B34368">
              <w:rPr>
                <w:rFonts w:eastAsiaTheme="minorEastAsia"/>
                <w:color w:val="000000" w:themeColor="text1"/>
                <w:kern w:val="0"/>
                <w:sz w:val="24"/>
              </w:rPr>
              <w:t>(</w:t>
            </w:r>
            <w:r w:rsidRPr="00B34368">
              <w:rPr>
                <w:rFonts w:eastAsiaTheme="minorEastAsia"/>
                <w:color w:val="000000" w:themeColor="text1"/>
                <w:kern w:val="0"/>
                <w:sz w:val="24"/>
              </w:rPr>
              <w:t>税后</w:t>
            </w:r>
            <w:r w:rsidRPr="00B34368">
              <w:rPr>
                <w:rFonts w:eastAsiaTheme="minorEastAsia"/>
                <w:color w:val="000000" w:themeColor="text1"/>
                <w:kern w:val="0"/>
                <w:sz w:val="24"/>
              </w:rPr>
              <w:t>)X5%</w:t>
            </w:r>
          </w:p>
        </w:tc>
      </w:tr>
      <w:tr w:rsidR="00D3639B" w:rsidRPr="00B34368" w:rsidTr="009A045B">
        <w:tc>
          <w:tcPr>
            <w:tcW w:w="2835" w:type="dxa"/>
          </w:tcPr>
          <w:p w:rsidR="00846C2B" w:rsidRPr="00B34368" w:rsidRDefault="00846C2B"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t>风险收益特征</w:t>
            </w:r>
          </w:p>
        </w:tc>
        <w:tc>
          <w:tcPr>
            <w:tcW w:w="5479" w:type="dxa"/>
            <w:gridSpan w:val="2"/>
          </w:tcPr>
          <w:p w:rsidR="00846C2B" w:rsidRPr="00B34368" w:rsidRDefault="00846C2B" w:rsidP="00E205AA">
            <w:pPr>
              <w:adjustRightInd w:val="0"/>
              <w:spacing w:before="29" w:line="360" w:lineRule="auto"/>
              <w:ind w:left="17"/>
              <w:jc w:val="left"/>
              <w:rPr>
                <w:rFonts w:eastAsiaTheme="minorEastAsia"/>
                <w:color w:val="000000" w:themeColor="text1"/>
                <w:sz w:val="24"/>
              </w:rPr>
            </w:pPr>
            <w:r w:rsidRPr="00B34368">
              <w:rPr>
                <w:rFonts w:eastAsiaTheme="minorEastAsia"/>
                <w:color w:val="000000" w:themeColor="text1"/>
                <w:kern w:val="0"/>
                <w:sz w:val="24"/>
              </w:rPr>
              <w:t>本基金为沪深</w:t>
            </w:r>
            <w:r w:rsidRPr="00B34368">
              <w:rPr>
                <w:rFonts w:eastAsiaTheme="minorEastAsia"/>
                <w:color w:val="000000" w:themeColor="text1"/>
                <w:kern w:val="0"/>
                <w:sz w:val="24"/>
              </w:rPr>
              <w:t>300ETF</w:t>
            </w:r>
            <w:r w:rsidRPr="00B34368">
              <w:rPr>
                <w:rFonts w:eastAsiaTheme="minorEastAsia"/>
                <w:color w:val="000000" w:themeColor="text1"/>
                <w:kern w:val="0"/>
                <w:sz w:val="24"/>
              </w:rPr>
              <w:t>的联接基金，其预期风险收益水平高于混合型基金、债券基金和货币市场基金；本基金主要通过投资沪深</w:t>
            </w:r>
            <w:r w:rsidRPr="00B34368">
              <w:rPr>
                <w:rFonts w:eastAsiaTheme="minorEastAsia"/>
                <w:color w:val="000000" w:themeColor="text1"/>
                <w:kern w:val="0"/>
                <w:sz w:val="24"/>
              </w:rPr>
              <w:t>300ETF</w:t>
            </w:r>
            <w:r w:rsidRPr="00B34368">
              <w:rPr>
                <w:rFonts w:eastAsiaTheme="minorEastAsia"/>
                <w:color w:val="000000" w:themeColor="text1"/>
                <w:kern w:val="0"/>
                <w:sz w:val="24"/>
              </w:rPr>
              <w:t>实现对业绩比较基准的紧密跟踪，具有与业绩比较基准相似的风险收益特征。</w:t>
            </w:r>
          </w:p>
        </w:tc>
      </w:tr>
      <w:tr w:rsidR="00D3639B" w:rsidRPr="00B34368" w:rsidTr="00950413">
        <w:tc>
          <w:tcPr>
            <w:tcW w:w="2835" w:type="dxa"/>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t>基金管理人</w:t>
            </w:r>
          </w:p>
        </w:tc>
        <w:tc>
          <w:tcPr>
            <w:tcW w:w="5479" w:type="dxa"/>
            <w:gridSpan w:val="2"/>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color w:val="000000" w:themeColor="text1"/>
                <w:kern w:val="0"/>
                <w:sz w:val="24"/>
              </w:rPr>
              <w:t>易方达基金管理有限公司</w:t>
            </w:r>
          </w:p>
        </w:tc>
      </w:tr>
      <w:tr w:rsidR="00D3639B" w:rsidRPr="00B34368" w:rsidTr="00950413">
        <w:tc>
          <w:tcPr>
            <w:tcW w:w="2835" w:type="dxa"/>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t>基金托管人</w:t>
            </w:r>
          </w:p>
        </w:tc>
        <w:tc>
          <w:tcPr>
            <w:tcW w:w="5479" w:type="dxa"/>
            <w:gridSpan w:val="2"/>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color w:val="000000" w:themeColor="text1"/>
                <w:kern w:val="0"/>
                <w:sz w:val="24"/>
              </w:rPr>
              <w:t>中国建设银行股份有限公司</w:t>
            </w:r>
          </w:p>
        </w:tc>
      </w:tr>
      <w:tr w:rsidR="00D3639B" w:rsidRPr="00B34368" w:rsidTr="00950413">
        <w:tc>
          <w:tcPr>
            <w:tcW w:w="2835" w:type="dxa"/>
          </w:tcPr>
          <w:p w:rsidR="00950413" w:rsidRPr="00B34368" w:rsidRDefault="00075E4E" w:rsidP="00E205AA">
            <w:pPr>
              <w:adjustRightInd w:val="0"/>
              <w:spacing w:before="29" w:line="360" w:lineRule="auto"/>
              <w:ind w:left="17"/>
              <w:jc w:val="left"/>
              <w:rPr>
                <w:rFonts w:eastAsiaTheme="minorEastAsia"/>
                <w:color w:val="000000" w:themeColor="text1"/>
                <w:kern w:val="0"/>
                <w:sz w:val="24"/>
              </w:rPr>
            </w:pPr>
            <w:r>
              <w:rPr>
                <w:rFonts w:eastAsiaTheme="minorEastAsia" w:hAnsiTheme="minorEastAsia"/>
                <w:color w:val="000000" w:themeColor="text1"/>
                <w:sz w:val="24"/>
              </w:rPr>
              <w:t>下属</w:t>
            </w:r>
            <w:r>
              <w:rPr>
                <w:rFonts w:eastAsiaTheme="minorEastAsia" w:hAnsiTheme="minorEastAsia" w:hint="eastAsia"/>
                <w:color w:val="000000" w:themeColor="text1"/>
                <w:sz w:val="24"/>
              </w:rPr>
              <w:t>分</w:t>
            </w:r>
            <w:r w:rsidR="00950413" w:rsidRPr="00B34368">
              <w:rPr>
                <w:rFonts w:eastAsiaTheme="minorEastAsia" w:hAnsiTheme="minorEastAsia"/>
                <w:color w:val="000000" w:themeColor="text1"/>
                <w:sz w:val="24"/>
              </w:rPr>
              <w:t>级基金的基金简称</w:t>
            </w:r>
          </w:p>
        </w:tc>
        <w:tc>
          <w:tcPr>
            <w:tcW w:w="2739" w:type="dxa"/>
            <w:vAlign w:val="center"/>
          </w:tcPr>
          <w:p w:rsidR="00950413" w:rsidRPr="00B34368" w:rsidRDefault="00950413" w:rsidP="00950413">
            <w:pPr>
              <w:jc w:val="left"/>
              <w:rPr>
                <w:rFonts w:eastAsiaTheme="minorEastAsia"/>
                <w:color w:val="000000" w:themeColor="text1"/>
                <w:sz w:val="24"/>
              </w:rPr>
            </w:pPr>
            <w:r w:rsidRPr="00B34368">
              <w:rPr>
                <w:rFonts w:eastAsiaTheme="minorEastAsia"/>
                <w:color w:val="000000" w:themeColor="text1"/>
                <w:sz w:val="24"/>
              </w:rPr>
              <w:t>易方达沪深</w:t>
            </w:r>
            <w:r w:rsidRPr="00B34368">
              <w:rPr>
                <w:rFonts w:eastAsiaTheme="minorEastAsia"/>
                <w:color w:val="000000" w:themeColor="text1"/>
                <w:sz w:val="24"/>
              </w:rPr>
              <w:t>300ETF</w:t>
            </w:r>
            <w:r w:rsidRPr="00B34368">
              <w:rPr>
                <w:rFonts w:eastAsiaTheme="minorEastAsia"/>
                <w:color w:val="000000" w:themeColor="text1"/>
                <w:sz w:val="24"/>
              </w:rPr>
              <w:t>发起式联接</w:t>
            </w:r>
            <w:r w:rsidRPr="00B34368">
              <w:rPr>
                <w:rFonts w:eastAsiaTheme="minorEastAsia"/>
                <w:color w:val="000000" w:themeColor="text1"/>
                <w:sz w:val="24"/>
              </w:rPr>
              <w:t>A</w:t>
            </w:r>
          </w:p>
        </w:tc>
        <w:tc>
          <w:tcPr>
            <w:tcW w:w="2740" w:type="dxa"/>
            <w:vAlign w:val="center"/>
          </w:tcPr>
          <w:p w:rsidR="00950413" w:rsidRPr="00B34368" w:rsidRDefault="00950413" w:rsidP="00950413">
            <w:pPr>
              <w:jc w:val="left"/>
              <w:rPr>
                <w:rFonts w:eastAsiaTheme="minorEastAsia"/>
                <w:color w:val="000000" w:themeColor="text1"/>
                <w:sz w:val="24"/>
              </w:rPr>
            </w:pPr>
            <w:r w:rsidRPr="00B34368">
              <w:rPr>
                <w:rFonts w:eastAsiaTheme="minorEastAsia"/>
                <w:color w:val="000000" w:themeColor="text1"/>
                <w:sz w:val="24"/>
              </w:rPr>
              <w:t>易方达沪深</w:t>
            </w:r>
            <w:r w:rsidRPr="00B34368">
              <w:rPr>
                <w:rFonts w:eastAsiaTheme="minorEastAsia"/>
                <w:color w:val="000000" w:themeColor="text1"/>
                <w:sz w:val="24"/>
              </w:rPr>
              <w:t>300ETF</w:t>
            </w:r>
            <w:r w:rsidRPr="00B34368">
              <w:rPr>
                <w:rFonts w:eastAsiaTheme="minorEastAsia"/>
                <w:color w:val="000000" w:themeColor="text1"/>
                <w:sz w:val="24"/>
              </w:rPr>
              <w:t>发起式联接</w:t>
            </w:r>
            <w:r w:rsidRPr="00B34368">
              <w:rPr>
                <w:rFonts w:eastAsiaTheme="minorEastAsia"/>
                <w:color w:val="000000" w:themeColor="text1"/>
                <w:sz w:val="24"/>
              </w:rPr>
              <w:t>C</w:t>
            </w:r>
          </w:p>
        </w:tc>
      </w:tr>
      <w:tr w:rsidR="00D3639B" w:rsidRPr="00B34368" w:rsidTr="00950413">
        <w:tc>
          <w:tcPr>
            <w:tcW w:w="2835" w:type="dxa"/>
          </w:tcPr>
          <w:p w:rsidR="00950413" w:rsidRPr="00B34368" w:rsidRDefault="00950413"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下属</w:t>
            </w:r>
            <w:r w:rsidR="00075E4E">
              <w:rPr>
                <w:rFonts w:eastAsiaTheme="minorEastAsia" w:hAnsiTheme="minorEastAsia" w:hint="eastAsia"/>
                <w:color w:val="000000" w:themeColor="text1"/>
                <w:sz w:val="24"/>
              </w:rPr>
              <w:t>分</w:t>
            </w:r>
            <w:r w:rsidRPr="00B34368">
              <w:rPr>
                <w:rFonts w:eastAsiaTheme="minorEastAsia" w:hAnsiTheme="minorEastAsia"/>
                <w:color w:val="000000" w:themeColor="text1"/>
                <w:sz w:val="24"/>
              </w:rPr>
              <w:t>级基金的交易代码</w:t>
            </w:r>
          </w:p>
        </w:tc>
        <w:tc>
          <w:tcPr>
            <w:tcW w:w="2739" w:type="dxa"/>
            <w:vAlign w:val="center"/>
          </w:tcPr>
          <w:p w:rsidR="00950413" w:rsidRPr="00B34368" w:rsidRDefault="00950413" w:rsidP="00950413">
            <w:pPr>
              <w:jc w:val="left"/>
              <w:rPr>
                <w:rFonts w:eastAsiaTheme="minorEastAsia"/>
                <w:color w:val="000000" w:themeColor="text1"/>
                <w:sz w:val="24"/>
              </w:rPr>
            </w:pPr>
            <w:r w:rsidRPr="00B34368">
              <w:rPr>
                <w:rFonts w:eastAsiaTheme="minorEastAsia"/>
                <w:color w:val="000000" w:themeColor="text1"/>
                <w:sz w:val="24"/>
              </w:rPr>
              <w:t>110020</w:t>
            </w:r>
          </w:p>
        </w:tc>
        <w:tc>
          <w:tcPr>
            <w:tcW w:w="2740" w:type="dxa"/>
            <w:vAlign w:val="center"/>
          </w:tcPr>
          <w:p w:rsidR="00950413" w:rsidRPr="00B34368" w:rsidRDefault="00FE7FBD" w:rsidP="00950413">
            <w:pPr>
              <w:jc w:val="left"/>
              <w:rPr>
                <w:rFonts w:eastAsiaTheme="minorEastAsia"/>
                <w:color w:val="000000" w:themeColor="text1"/>
                <w:sz w:val="24"/>
              </w:rPr>
            </w:pPr>
            <w:r w:rsidRPr="00B34368">
              <w:rPr>
                <w:rFonts w:eastAsiaTheme="minorEastAsia"/>
                <w:color w:val="000000" w:themeColor="text1"/>
                <w:sz w:val="24"/>
              </w:rPr>
              <w:t>007339</w:t>
            </w:r>
          </w:p>
        </w:tc>
      </w:tr>
      <w:tr w:rsidR="00D3639B" w:rsidRPr="00B34368" w:rsidTr="00950413">
        <w:tc>
          <w:tcPr>
            <w:tcW w:w="2835" w:type="dxa"/>
          </w:tcPr>
          <w:p w:rsidR="00950413" w:rsidRPr="00B34368" w:rsidRDefault="00950413"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报告期末下属</w:t>
            </w:r>
            <w:r w:rsidR="00075E4E">
              <w:rPr>
                <w:rFonts w:eastAsiaTheme="minorEastAsia" w:hAnsiTheme="minorEastAsia" w:hint="eastAsia"/>
                <w:color w:val="000000" w:themeColor="text1"/>
                <w:sz w:val="24"/>
              </w:rPr>
              <w:t>分</w:t>
            </w:r>
            <w:r w:rsidRPr="00B34368">
              <w:rPr>
                <w:rFonts w:eastAsiaTheme="minorEastAsia" w:hAnsiTheme="minorEastAsia"/>
                <w:color w:val="000000" w:themeColor="text1"/>
                <w:sz w:val="24"/>
              </w:rPr>
              <w:t>级基金的份额总额</w:t>
            </w:r>
          </w:p>
        </w:tc>
        <w:tc>
          <w:tcPr>
            <w:tcW w:w="2739" w:type="dxa"/>
            <w:vAlign w:val="center"/>
          </w:tcPr>
          <w:p w:rsidR="00950413" w:rsidRPr="00B34368" w:rsidRDefault="00950413" w:rsidP="00950413">
            <w:pPr>
              <w:jc w:val="left"/>
              <w:rPr>
                <w:rFonts w:eastAsiaTheme="minorEastAsia"/>
                <w:color w:val="000000" w:themeColor="text1"/>
                <w:sz w:val="24"/>
              </w:rPr>
            </w:pPr>
            <w:r w:rsidRPr="00B34368">
              <w:rPr>
                <w:rFonts w:eastAsiaTheme="minorEastAsia"/>
                <w:color w:val="000000" w:themeColor="text1"/>
                <w:sz w:val="24"/>
              </w:rPr>
              <w:t>4,098,234,319.37</w:t>
            </w:r>
            <w:r w:rsidR="00D305C9" w:rsidRPr="00B34368">
              <w:rPr>
                <w:rFonts w:eastAsiaTheme="minorEastAsia" w:hAnsiTheme="minorEastAsia"/>
                <w:color w:val="000000" w:themeColor="text1"/>
                <w:kern w:val="0"/>
                <w:sz w:val="24"/>
              </w:rPr>
              <w:t>份</w:t>
            </w:r>
          </w:p>
        </w:tc>
        <w:tc>
          <w:tcPr>
            <w:tcW w:w="2740" w:type="dxa"/>
            <w:vAlign w:val="center"/>
          </w:tcPr>
          <w:p w:rsidR="00950413" w:rsidRPr="00B34368" w:rsidRDefault="00FE7FBD" w:rsidP="00950413">
            <w:pPr>
              <w:jc w:val="left"/>
              <w:rPr>
                <w:rFonts w:eastAsiaTheme="minorEastAsia"/>
                <w:color w:val="000000" w:themeColor="text1"/>
                <w:sz w:val="24"/>
              </w:rPr>
            </w:pPr>
            <w:r w:rsidRPr="00B34368">
              <w:rPr>
                <w:rFonts w:eastAsiaTheme="minorEastAsia"/>
                <w:color w:val="000000" w:themeColor="text1"/>
                <w:sz w:val="24"/>
              </w:rPr>
              <w:t>824,327,299.91</w:t>
            </w:r>
            <w:r w:rsidR="00D305C9" w:rsidRPr="00B34368">
              <w:rPr>
                <w:rFonts w:eastAsiaTheme="minorEastAsia" w:hAnsiTheme="minorEastAsia"/>
                <w:color w:val="000000" w:themeColor="text1"/>
                <w:kern w:val="0"/>
                <w:sz w:val="24"/>
              </w:rPr>
              <w:t>份</w:t>
            </w:r>
          </w:p>
        </w:tc>
      </w:tr>
    </w:tbl>
    <w:p w:rsidR="002C32ED" w:rsidRPr="00B34368" w:rsidRDefault="00A6200E" w:rsidP="00B34368">
      <w:pPr>
        <w:autoSpaceDE w:val="0"/>
        <w:autoSpaceDN w:val="0"/>
        <w:adjustRightInd w:val="0"/>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注：自</w:t>
      </w:r>
      <w:r w:rsidRPr="00B34368">
        <w:rPr>
          <w:rFonts w:eastAsiaTheme="minorEastAsia"/>
          <w:color w:val="000000" w:themeColor="text1"/>
          <w:sz w:val="24"/>
        </w:rPr>
        <w:t>2019</w:t>
      </w:r>
      <w:r w:rsidRPr="00B34368">
        <w:rPr>
          <w:rFonts w:eastAsiaTheme="minorEastAsia"/>
          <w:color w:val="000000" w:themeColor="text1"/>
          <w:sz w:val="24"/>
        </w:rPr>
        <w:t>年</w:t>
      </w:r>
      <w:r w:rsidRPr="00B34368">
        <w:rPr>
          <w:rFonts w:eastAsiaTheme="minorEastAsia"/>
          <w:color w:val="000000" w:themeColor="text1"/>
          <w:sz w:val="24"/>
        </w:rPr>
        <w:t>4</w:t>
      </w:r>
      <w:r w:rsidRPr="00B34368">
        <w:rPr>
          <w:rFonts w:eastAsiaTheme="minorEastAsia"/>
          <w:color w:val="000000" w:themeColor="text1"/>
          <w:sz w:val="24"/>
        </w:rPr>
        <w:t>月</w:t>
      </w:r>
      <w:r w:rsidRPr="00B34368">
        <w:rPr>
          <w:rFonts w:eastAsiaTheme="minorEastAsia"/>
          <w:color w:val="000000" w:themeColor="text1"/>
          <w:sz w:val="24"/>
        </w:rPr>
        <w:t>25</w:t>
      </w:r>
      <w:r w:rsidRPr="00B34368">
        <w:rPr>
          <w:rFonts w:eastAsiaTheme="minorEastAsia"/>
          <w:color w:val="000000" w:themeColor="text1"/>
          <w:sz w:val="24"/>
        </w:rPr>
        <w:t>日起，本基金增设</w:t>
      </w:r>
      <w:r w:rsidRPr="00B34368">
        <w:rPr>
          <w:rFonts w:eastAsiaTheme="minorEastAsia"/>
          <w:color w:val="000000" w:themeColor="text1"/>
          <w:sz w:val="24"/>
        </w:rPr>
        <w:t>C</w:t>
      </w:r>
      <w:r w:rsidRPr="00B34368">
        <w:rPr>
          <w:rFonts w:eastAsiaTheme="minorEastAsia"/>
          <w:color w:val="000000" w:themeColor="text1"/>
          <w:sz w:val="24"/>
        </w:rPr>
        <w:t>类份额类别，份额首次确认日为</w:t>
      </w:r>
      <w:r w:rsidRPr="00B34368">
        <w:rPr>
          <w:rFonts w:eastAsiaTheme="minorEastAsia"/>
          <w:color w:val="000000" w:themeColor="text1"/>
          <w:sz w:val="24"/>
        </w:rPr>
        <w:t>2019</w:t>
      </w:r>
      <w:r w:rsidRPr="00B34368">
        <w:rPr>
          <w:rFonts w:eastAsiaTheme="minorEastAsia"/>
          <w:color w:val="000000" w:themeColor="text1"/>
          <w:sz w:val="24"/>
        </w:rPr>
        <w:t>年</w:t>
      </w:r>
      <w:r w:rsidRPr="00B34368">
        <w:rPr>
          <w:rFonts w:eastAsiaTheme="minorEastAsia"/>
          <w:color w:val="000000" w:themeColor="text1"/>
          <w:sz w:val="24"/>
        </w:rPr>
        <w:t>4</w:t>
      </w:r>
      <w:r w:rsidRPr="00B34368">
        <w:rPr>
          <w:rFonts w:eastAsiaTheme="minorEastAsia"/>
          <w:color w:val="000000" w:themeColor="text1"/>
          <w:sz w:val="24"/>
        </w:rPr>
        <w:t>月</w:t>
      </w:r>
      <w:r w:rsidRPr="00B34368">
        <w:rPr>
          <w:rFonts w:eastAsiaTheme="minorEastAsia"/>
          <w:color w:val="000000" w:themeColor="text1"/>
          <w:sz w:val="24"/>
        </w:rPr>
        <w:t>26</w:t>
      </w:r>
      <w:r w:rsidRPr="00B34368">
        <w:rPr>
          <w:rFonts w:eastAsiaTheme="minorEastAsia"/>
          <w:color w:val="000000" w:themeColor="text1"/>
          <w:sz w:val="24"/>
        </w:rPr>
        <w:t>日。</w:t>
      </w:r>
    </w:p>
    <w:p w:rsidR="002C32ED" w:rsidRPr="00B34368" w:rsidRDefault="002C32ED" w:rsidP="00C544B8">
      <w:pPr>
        <w:pStyle w:val="2"/>
        <w:keepNext w:val="0"/>
        <w:keepLines w:val="0"/>
        <w:spacing w:beforeLines="100" w:before="312" w:after="0"/>
        <w:rPr>
          <w:rFonts w:ascii="Times New Roman" w:eastAsiaTheme="minorEastAsia" w:hAnsi="Times New Roman" w:cs="Times New Roman"/>
          <w:color w:val="000000" w:themeColor="text1"/>
          <w:szCs w:val="24"/>
        </w:rPr>
      </w:pPr>
      <w:r w:rsidRPr="00B34368">
        <w:rPr>
          <w:rFonts w:ascii="Times New Roman" w:eastAsiaTheme="minorEastAsia" w:hAnsi="Times New Roman" w:cs="Times New Roman"/>
          <w:color w:val="000000" w:themeColor="text1"/>
          <w:szCs w:val="24"/>
        </w:rPr>
        <w:t>2.1.1</w:t>
      </w:r>
      <w:r w:rsidRPr="00B34368">
        <w:rPr>
          <w:rFonts w:ascii="Times New Roman" w:eastAsiaTheme="minorEastAsia" w:hAnsiTheme="minorEastAsia" w:cs="Times New Roman"/>
          <w:color w:val="000000" w:themeColor="text1"/>
          <w:szCs w:val="24"/>
        </w:rPr>
        <w:t>目标基金基本情况</w:t>
      </w:r>
    </w:p>
    <w:tbl>
      <w:tblPr>
        <w:tblW w:w="8460" w:type="dxa"/>
        <w:tblInd w:w="108" w:type="dxa"/>
        <w:tblLayout w:type="fixed"/>
        <w:tblLook w:val="0000" w:firstRow="0" w:lastRow="0" w:firstColumn="0" w:lastColumn="0" w:noHBand="0" w:noVBand="0"/>
      </w:tblPr>
      <w:tblGrid>
        <w:gridCol w:w="2724"/>
        <w:gridCol w:w="5736"/>
      </w:tblGrid>
      <w:tr w:rsidR="00D3639B" w:rsidRPr="00B34368"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易方达沪深</w:t>
            </w:r>
            <w:r w:rsidRPr="00B34368">
              <w:rPr>
                <w:rFonts w:eastAsiaTheme="minorEastAsia"/>
                <w:color w:val="000000" w:themeColor="text1"/>
                <w:sz w:val="24"/>
              </w:rPr>
              <w:t>300</w:t>
            </w:r>
            <w:r w:rsidRPr="00B34368">
              <w:rPr>
                <w:rFonts w:eastAsiaTheme="minorEastAsia"/>
                <w:color w:val="000000" w:themeColor="text1"/>
                <w:sz w:val="24"/>
              </w:rPr>
              <w:t>交易型开放式指数发起式证券投资基金</w:t>
            </w:r>
          </w:p>
        </w:tc>
      </w:tr>
      <w:tr w:rsidR="00D3639B" w:rsidRPr="00B34368"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510310</w:t>
            </w:r>
          </w:p>
        </w:tc>
      </w:tr>
      <w:tr w:rsidR="00D3639B" w:rsidRPr="00B34368"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交易型开放式（</w:t>
            </w:r>
            <w:r w:rsidRPr="00B34368">
              <w:rPr>
                <w:rFonts w:eastAsiaTheme="minorEastAsia"/>
                <w:color w:val="000000" w:themeColor="text1"/>
                <w:sz w:val="24"/>
              </w:rPr>
              <w:t>ETF</w:t>
            </w:r>
            <w:r w:rsidRPr="00B34368">
              <w:rPr>
                <w:rFonts w:eastAsiaTheme="minorEastAsia"/>
                <w:color w:val="000000" w:themeColor="text1"/>
                <w:sz w:val="24"/>
              </w:rPr>
              <w:t>）、发起式</w:t>
            </w:r>
          </w:p>
        </w:tc>
      </w:tr>
      <w:tr w:rsidR="00D3639B" w:rsidRPr="00B34368"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2013</w:t>
            </w:r>
            <w:r w:rsidRPr="00B34368">
              <w:rPr>
                <w:rFonts w:eastAsiaTheme="minorEastAsia"/>
                <w:color w:val="000000" w:themeColor="text1"/>
                <w:sz w:val="24"/>
              </w:rPr>
              <w:t>年</w:t>
            </w:r>
            <w:r w:rsidRPr="00B34368">
              <w:rPr>
                <w:rFonts w:eastAsiaTheme="minorEastAsia"/>
                <w:color w:val="000000" w:themeColor="text1"/>
                <w:sz w:val="24"/>
              </w:rPr>
              <w:t>3</w:t>
            </w:r>
            <w:r w:rsidRPr="00B34368">
              <w:rPr>
                <w:rFonts w:eastAsiaTheme="minorEastAsia"/>
                <w:color w:val="000000" w:themeColor="text1"/>
                <w:sz w:val="24"/>
              </w:rPr>
              <w:t>月</w:t>
            </w:r>
            <w:r w:rsidRPr="00B34368">
              <w:rPr>
                <w:rFonts w:eastAsiaTheme="minorEastAsia"/>
                <w:color w:val="000000" w:themeColor="text1"/>
                <w:sz w:val="24"/>
              </w:rPr>
              <w:t>6</w:t>
            </w:r>
            <w:r w:rsidRPr="00B34368">
              <w:rPr>
                <w:rFonts w:eastAsiaTheme="minorEastAsia"/>
                <w:color w:val="000000" w:themeColor="text1"/>
                <w:sz w:val="24"/>
              </w:rPr>
              <w:t>日</w:t>
            </w:r>
          </w:p>
        </w:tc>
      </w:tr>
      <w:tr w:rsidR="00D3639B" w:rsidRPr="00B34368"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上海证券交易所</w:t>
            </w:r>
          </w:p>
        </w:tc>
      </w:tr>
      <w:tr w:rsidR="00D3639B" w:rsidRPr="00B34368"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2013</w:t>
            </w:r>
            <w:r w:rsidRPr="00B34368">
              <w:rPr>
                <w:rFonts w:eastAsiaTheme="minorEastAsia"/>
                <w:color w:val="000000" w:themeColor="text1"/>
                <w:sz w:val="24"/>
              </w:rPr>
              <w:t>年</w:t>
            </w:r>
            <w:r w:rsidRPr="00B34368">
              <w:rPr>
                <w:rFonts w:eastAsiaTheme="minorEastAsia"/>
                <w:color w:val="000000" w:themeColor="text1"/>
                <w:sz w:val="24"/>
              </w:rPr>
              <w:t>3</w:t>
            </w:r>
            <w:r w:rsidRPr="00B34368">
              <w:rPr>
                <w:rFonts w:eastAsiaTheme="minorEastAsia"/>
                <w:color w:val="000000" w:themeColor="text1"/>
                <w:sz w:val="24"/>
              </w:rPr>
              <w:t>月</w:t>
            </w:r>
            <w:r w:rsidRPr="00B34368">
              <w:rPr>
                <w:rFonts w:eastAsiaTheme="minorEastAsia"/>
                <w:color w:val="000000" w:themeColor="text1"/>
                <w:sz w:val="24"/>
              </w:rPr>
              <w:t>25</w:t>
            </w:r>
            <w:r w:rsidRPr="00B34368">
              <w:rPr>
                <w:rFonts w:eastAsiaTheme="minorEastAsia"/>
                <w:color w:val="000000" w:themeColor="text1"/>
                <w:sz w:val="24"/>
              </w:rPr>
              <w:t>日</w:t>
            </w:r>
          </w:p>
        </w:tc>
      </w:tr>
      <w:tr w:rsidR="00D3639B" w:rsidRPr="00B34368"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易方达基金管理有限公司</w:t>
            </w:r>
          </w:p>
        </w:tc>
      </w:tr>
      <w:tr w:rsidR="00D3639B" w:rsidRPr="00B34368"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中国建设银行股份有限公司</w:t>
            </w:r>
          </w:p>
        </w:tc>
      </w:tr>
    </w:tbl>
    <w:p w:rsidR="002C32ED" w:rsidRPr="00B34368" w:rsidRDefault="002C32ED" w:rsidP="00C544B8">
      <w:pPr>
        <w:pStyle w:val="2"/>
        <w:keepNext w:val="0"/>
        <w:keepLines w:val="0"/>
        <w:spacing w:beforeLines="100" w:before="312" w:after="0"/>
        <w:rPr>
          <w:rFonts w:ascii="Times New Roman" w:eastAsiaTheme="minorEastAsia" w:hAnsi="Times New Roman" w:cs="Times New Roman"/>
          <w:color w:val="000000" w:themeColor="text1"/>
          <w:szCs w:val="24"/>
        </w:rPr>
      </w:pPr>
      <w:r w:rsidRPr="00B34368">
        <w:rPr>
          <w:rFonts w:ascii="Times New Roman" w:eastAsiaTheme="minorEastAsia" w:hAnsi="Times New Roman" w:cs="Times New Roman"/>
          <w:color w:val="000000" w:themeColor="text1"/>
          <w:szCs w:val="24"/>
        </w:rPr>
        <w:t>2.1.2</w:t>
      </w:r>
      <w:r w:rsidRPr="00B34368">
        <w:rPr>
          <w:rFonts w:ascii="Times New Roman" w:eastAsiaTheme="minorEastAsia" w:hAnsiTheme="minorEastAsia" w:cs="Times New Roman"/>
          <w:color w:val="000000" w:themeColor="text1"/>
          <w:szCs w:val="24"/>
        </w:rPr>
        <w:t>目标基金产品说明</w:t>
      </w:r>
    </w:p>
    <w:tbl>
      <w:tblPr>
        <w:tblW w:w="8460" w:type="dxa"/>
        <w:tblInd w:w="108" w:type="dxa"/>
        <w:tblLook w:val="0000" w:firstRow="0" w:lastRow="0" w:firstColumn="0" w:lastColumn="0" w:noHBand="0" w:noVBand="0"/>
      </w:tblPr>
      <w:tblGrid>
        <w:gridCol w:w="2820"/>
        <w:gridCol w:w="5640"/>
      </w:tblGrid>
      <w:tr w:rsidR="00D3639B" w:rsidRPr="00B34368" w:rsidTr="005472A0">
        <w:tc>
          <w:tcPr>
            <w:tcW w:w="2820"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紧密跟踪标的指数，追求跟踪偏离度和跟踪误差的最小化。</w:t>
            </w:r>
          </w:p>
        </w:tc>
      </w:tr>
      <w:tr w:rsidR="00D3639B" w:rsidRPr="00B34368" w:rsidTr="005472A0">
        <w:tc>
          <w:tcPr>
            <w:tcW w:w="2820"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本基金主要采取完全复制法，即完全按照标的指数的成份股组成及其权重构建基金股票投资组合，并根据标的指数成份股及其权重的变动进行相应调整。但在因特殊情形导致基金无法完全投资于标的指数成份股时，基金管理人将采取其他指数投资技术适当调整基金投资组合，以达到紧密跟踪标的指数的目的。本基金可投资股指期货和其他经中国证监会允许的衍生金融产品。本基金投资股指期货将根据风险管理的原则，以套期保值为目的，主要选择流动性好、交易活跃的股指期货合约。在正常市场情况下，本基金日均跟踪偏离度的绝对值不超过</w:t>
            </w:r>
            <w:r w:rsidRPr="00B34368">
              <w:rPr>
                <w:rFonts w:eastAsiaTheme="minorEastAsia"/>
                <w:color w:val="000000" w:themeColor="text1"/>
                <w:sz w:val="24"/>
              </w:rPr>
              <w:t>0.2%</w:t>
            </w:r>
            <w:r w:rsidRPr="00B34368">
              <w:rPr>
                <w:rFonts w:eastAsiaTheme="minorEastAsia"/>
                <w:color w:val="000000" w:themeColor="text1"/>
                <w:sz w:val="24"/>
              </w:rPr>
              <w:t>，年化跟踪误差不超过</w:t>
            </w:r>
            <w:r w:rsidRPr="00B34368">
              <w:rPr>
                <w:rFonts w:eastAsiaTheme="minorEastAsia"/>
                <w:color w:val="000000" w:themeColor="text1"/>
                <w:sz w:val="24"/>
              </w:rPr>
              <w:t>2%</w:t>
            </w:r>
            <w:r w:rsidRPr="00B34368">
              <w:rPr>
                <w:rFonts w:eastAsiaTheme="minorEastAsia"/>
                <w:color w:val="000000" w:themeColor="text1"/>
                <w:sz w:val="24"/>
              </w:rPr>
              <w:t>。</w:t>
            </w:r>
          </w:p>
        </w:tc>
      </w:tr>
      <w:tr w:rsidR="00D3639B" w:rsidRPr="00B34368" w:rsidTr="005472A0">
        <w:tc>
          <w:tcPr>
            <w:tcW w:w="2820"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沪深</w:t>
            </w:r>
            <w:r w:rsidRPr="00B34368">
              <w:rPr>
                <w:rFonts w:eastAsiaTheme="minorEastAsia"/>
                <w:color w:val="000000" w:themeColor="text1"/>
                <w:sz w:val="24"/>
              </w:rPr>
              <w:t>300</w:t>
            </w:r>
            <w:r w:rsidRPr="00B34368">
              <w:rPr>
                <w:rFonts w:eastAsiaTheme="minorEastAsia"/>
                <w:color w:val="000000" w:themeColor="text1"/>
                <w:sz w:val="24"/>
              </w:rPr>
              <w:t>指数</w:t>
            </w:r>
          </w:p>
        </w:tc>
      </w:tr>
      <w:tr w:rsidR="00D3639B" w:rsidRPr="00B34368" w:rsidTr="005472A0">
        <w:tc>
          <w:tcPr>
            <w:tcW w:w="2820"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本基金属股票型基金，预期风险与预期收益水平高于混合型基金、债券型基金与货币市场基金。本基金为指数型基金，主要采用完全复制法跟踪标的指数的表现，具有与标的指数所代表的市场组合相似的风险收益特征。</w:t>
            </w:r>
          </w:p>
        </w:tc>
      </w:tr>
    </w:tbl>
    <w:p w:rsidR="009238DB" w:rsidRPr="00B34368" w:rsidRDefault="009238DB" w:rsidP="00C544B8">
      <w:pPr>
        <w:pStyle w:val="1"/>
        <w:spacing w:beforeLines="100" w:before="312" w:afterLines="100" w:after="312" w:line="360" w:lineRule="auto"/>
        <w:jc w:val="center"/>
        <w:rPr>
          <w:rFonts w:eastAsiaTheme="minorEastAsia"/>
          <w:color w:val="000000" w:themeColor="text1"/>
          <w:kern w:val="0"/>
          <w:sz w:val="24"/>
          <w:szCs w:val="24"/>
        </w:rPr>
      </w:pPr>
      <w:r w:rsidRPr="00B34368">
        <w:rPr>
          <w:rFonts w:eastAsiaTheme="minorEastAsia"/>
          <w:color w:val="000000" w:themeColor="text1"/>
          <w:kern w:val="0"/>
          <w:sz w:val="24"/>
          <w:szCs w:val="24"/>
        </w:rPr>
        <w:t xml:space="preserve">§3  </w:t>
      </w:r>
      <w:r w:rsidRPr="00B34368">
        <w:rPr>
          <w:rFonts w:eastAsiaTheme="minorEastAsia" w:hAnsiTheme="minorEastAsia"/>
          <w:color w:val="000000" w:themeColor="text1"/>
          <w:kern w:val="0"/>
          <w:sz w:val="24"/>
          <w:szCs w:val="24"/>
        </w:rPr>
        <w:t>主要财务指标和基金净值表现</w:t>
      </w:r>
    </w:p>
    <w:p w:rsidR="009238DB" w:rsidRPr="00B34368" w:rsidRDefault="009238DB" w:rsidP="00FC13C8">
      <w:pPr>
        <w:autoSpaceDE w:val="0"/>
        <w:autoSpaceDN w:val="0"/>
        <w:adjustRightInd w:val="0"/>
        <w:spacing w:line="360" w:lineRule="auto"/>
        <w:jc w:val="left"/>
        <w:rPr>
          <w:rFonts w:eastAsiaTheme="minorEastAsia"/>
          <w:b/>
          <w:color w:val="000000" w:themeColor="text1"/>
          <w:kern w:val="0"/>
          <w:sz w:val="24"/>
        </w:rPr>
      </w:pPr>
      <w:r w:rsidRPr="00B34368">
        <w:rPr>
          <w:rFonts w:eastAsiaTheme="minorEastAsia"/>
          <w:b/>
          <w:color w:val="000000" w:themeColor="text1"/>
          <w:kern w:val="0"/>
          <w:sz w:val="24"/>
        </w:rPr>
        <w:t xml:space="preserve">3.1 </w:t>
      </w:r>
      <w:r w:rsidRPr="00B34368">
        <w:rPr>
          <w:rFonts w:eastAsiaTheme="minorEastAsia" w:hAnsiTheme="minorEastAsia"/>
          <w:b/>
          <w:color w:val="000000" w:themeColor="text1"/>
          <w:kern w:val="0"/>
          <w:sz w:val="24"/>
        </w:rPr>
        <w:t>主要财务指标</w:t>
      </w:r>
    </w:p>
    <w:p w:rsidR="009238DB" w:rsidRPr="00B34368" w:rsidRDefault="009238DB" w:rsidP="00E27360">
      <w:pPr>
        <w:autoSpaceDE w:val="0"/>
        <w:autoSpaceDN w:val="0"/>
        <w:adjustRightInd w:val="0"/>
        <w:spacing w:before="29" w:line="288" w:lineRule="auto"/>
        <w:ind w:left="15" w:right="480"/>
        <w:jc w:val="right"/>
        <w:rPr>
          <w:rFonts w:eastAsiaTheme="minorEastAsia"/>
          <w:color w:val="000000" w:themeColor="text1"/>
          <w:kern w:val="0"/>
          <w:sz w:val="24"/>
        </w:rPr>
      </w:pPr>
      <w:r w:rsidRPr="00B34368">
        <w:rPr>
          <w:rFonts w:eastAsiaTheme="minorEastAsia" w:hAnsiTheme="minorEastAsia"/>
          <w:color w:val="000000" w:themeColor="text1"/>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D3639B" w:rsidRPr="00B34368" w:rsidTr="008B5312">
        <w:tc>
          <w:tcPr>
            <w:tcW w:w="3402" w:type="dxa"/>
            <w:vMerge w:val="restart"/>
            <w:vAlign w:val="center"/>
          </w:tcPr>
          <w:p w:rsidR="009E549D" w:rsidRPr="00B34368" w:rsidRDefault="009E549D" w:rsidP="00E205AA">
            <w:pPr>
              <w:adjustRightInd w:val="0"/>
              <w:spacing w:before="29" w:line="360" w:lineRule="auto"/>
              <w:ind w:left="17"/>
              <w:jc w:val="center"/>
              <w:rPr>
                <w:rFonts w:eastAsiaTheme="minorEastAsia"/>
                <w:color w:val="000000" w:themeColor="text1"/>
                <w:kern w:val="0"/>
                <w:sz w:val="24"/>
              </w:rPr>
            </w:pPr>
            <w:r w:rsidRPr="00B34368">
              <w:rPr>
                <w:rFonts w:eastAsiaTheme="minorEastAsia" w:hAnsiTheme="minorEastAsia"/>
                <w:color w:val="000000" w:themeColor="text1"/>
                <w:kern w:val="0"/>
                <w:sz w:val="24"/>
              </w:rPr>
              <w:t>主要财务指标</w:t>
            </w:r>
          </w:p>
        </w:tc>
        <w:tc>
          <w:tcPr>
            <w:tcW w:w="4962" w:type="dxa"/>
            <w:gridSpan w:val="2"/>
            <w:vAlign w:val="center"/>
          </w:tcPr>
          <w:p w:rsidR="002976E5" w:rsidRPr="00B34368" w:rsidRDefault="009E549D" w:rsidP="00E205AA">
            <w:pPr>
              <w:adjustRightInd w:val="0"/>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报告期</w:t>
            </w:r>
          </w:p>
          <w:p w:rsidR="009E549D" w:rsidRPr="00B34368" w:rsidRDefault="009E549D" w:rsidP="00E205AA">
            <w:pPr>
              <w:adjustRightInd w:val="0"/>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(2019</w:t>
            </w:r>
            <w:r w:rsidRPr="00B34368">
              <w:rPr>
                <w:rFonts w:eastAsiaTheme="minorEastAsia"/>
                <w:color w:val="000000" w:themeColor="text1"/>
                <w:sz w:val="24"/>
              </w:rPr>
              <w:t>年</w:t>
            </w:r>
            <w:r w:rsidRPr="00B34368">
              <w:rPr>
                <w:rFonts w:eastAsiaTheme="minorEastAsia"/>
                <w:color w:val="000000" w:themeColor="text1"/>
                <w:sz w:val="24"/>
              </w:rPr>
              <w:t>10</w:t>
            </w:r>
            <w:r w:rsidRPr="00B34368">
              <w:rPr>
                <w:rFonts w:eastAsiaTheme="minorEastAsia"/>
                <w:color w:val="000000" w:themeColor="text1"/>
                <w:sz w:val="24"/>
              </w:rPr>
              <w:t>月</w:t>
            </w:r>
            <w:r w:rsidRPr="00B34368">
              <w:rPr>
                <w:rFonts w:eastAsiaTheme="minorEastAsia"/>
                <w:color w:val="000000" w:themeColor="text1"/>
                <w:sz w:val="24"/>
              </w:rPr>
              <w:t>1</w:t>
            </w:r>
            <w:r w:rsidRPr="00B34368">
              <w:rPr>
                <w:rFonts w:eastAsiaTheme="minorEastAsia"/>
                <w:color w:val="000000" w:themeColor="text1"/>
                <w:sz w:val="24"/>
              </w:rPr>
              <w:t>日</w:t>
            </w:r>
            <w:r w:rsidRPr="00B34368">
              <w:rPr>
                <w:rFonts w:eastAsiaTheme="minorEastAsia"/>
                <w:color w:val="000000" w:themeColor="text1"/>
                <w:sz w:val="24"/>
              </w:rPr>
              <w:t>-2019</w:t>
            </w:r>
            <w:r w:rsidRPr="00B34368">
              <w:rPr>
                <w:rFonts w:eastAsiaTheme="minorEastAsia"/>
                <w:color w:val="000000" w:themeColor="text1"/>
                <w:sz w:val="24"/>
              </w:rPr>
              <w:t>年</w:t>
            </w:r>
            <w:r w:rsidRPr="00B34368">
              <w:rPr>
                <w:rFonts w:eastAsiaTheme="minorEastAsia"/>
                <w:color w:val="000000" w:themeColor="text1"/>
                <w:sz w:val="24"/>
              </w:rPr>
              <w:t>12</w:t>
            </w:r>
            <w:r w:rsidRPr="00B34368">
              <w:rPr>
                <w:rFonts w:eastAsiaTheme="minorEastAsia"/>
                <w:color w:val="000000" w:themeColor="text1"/>
                <w:sz w:val="24"/>
              </w:rPr>
              <w:t>月</w:t>
            </w:r>
            <w:r w:rsidRPr="00B34368">
              <w:rPr>
                <w:rFonts w:eastAsiaTheme="minorEastAsia"/>
                <w:color w:val="000000" w:themeColor="text1"/>
                <w:sz w:val="24"/>
              </w:rPr>
              <w:t>31</w:t>
            </w:r>
            <w:r w:rsidRPr="00B34368">
              <w:rPr>
                <w:rFonts w:eastAsiaTheme="minorEastAsia"/>
                <w:color w:val="000000" w:themeColor="text1"/>
                <w:sz w:val="24"/>
              </w:rPr>
              <w:t>日</w:t>
            </w:r>
            <w:r w:rsidRPr="00B34368">
              <w:rPr>
                <w:rFonts w:eastAsiaTheme="minorEastAsia"/>
                <w:color w:val="000000" w:themeColor="text1"/>
                <w:sz w:val="24"/>
              </w:rPr>
              <w:t>)</w:t>
            </w:r>
          </w:p>
        </w:tc>
      </w:tr>
      <w:tr w:rsidR="00D3639B" w:rsidRPr="00B34368" w:rsidTr="008B5312">
        <w:tc>
          <w:tcPr>
            <w:tcW w:w="3402" w:type="dxa"/>
            <w:vMerge/>
            <w:vAlign w:val="center"/>
          </w:tcPr>
          <w:p w:rsidR="009E549D" w:rsidRPr="00B34368" w:rsidRDefault="009E549D" w:rsidP="00E205AA">
            <w:pPr>
              <w:adjustRightInd w:val="0"/>
              <w:spacing w:before="29" w:line="360" w:lineRule="auto"/>
              <w:ind w:left="17"/>
              <w:jc w:val="center"/>
              <w:rPr>
                <w:rFonts w:eastAsiaTheme="minorEastAsia"/>
                <w:color w:val="000000" w:themeColor="text1"/>
                <w:kern w:val="0"/>
                <w:sz w:val="24"/>
              </w:rPr>
            </w:pPr>
          </w:p>
        </w:tc>
        <w:tc>
          <w:tcPr>
            <w:tcW w:w="2481" w:type="dxa"/>
            <w:vAlign w:val="center"/>
          </w:tcPr>
          <w:p w:rsidR="009E549D" w:rsidRPr="00B34368" w:rsidRDefault="009E549D" w:rsidP="00E205AA">
            <w:pPr>
              <w:adjustRightInd w:val="0"/>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易方达沪深</w:t>
            </w:r>
            <w:r w:rsidRPr="00B34368">
              <w:rPr>
                <w:rFonts w:eastAsiaTheme="minorEastAsia"/>
                <w:color w:val="000000" w:themeColor="text1"/>
                <w:sz w:val="24"/>
              </w:rPr>
              <w:t>300ETF</w:t>
            </w:r>
            <w:r w:rsidRPr="00B34368">
              <w:rPr>
                <w:rFonts w:eastAsiaTheme="minorEastAsia"/>
                <w:color w:val="000000" w:themeColor="text1"/>
                <w:sz w:val="24"/>
              </w:rPr>
              <w:t>发起式联接</w:t>
            </w:r>
            <w:r w:rsidRPr="00B34368">
              <w:rPr>
                <w:rFonts w:eastAsiaTheme="minorEastAsia"/>
                <w:color w:val="000000" w:themeColor="text1"/>
                <w:sz w:val="24"/>
              </w:rPr>
              <w:t>A</w:t>
            </w:r>
          </w:p>
        </w:tc>
        <w:tc>
          <w:tcPr>
            <w:tcW w:w="2481" w:type="dxa"/>
            <w:vAlign w:val="center"/>
          </w:tcPr>
          <w:p w:rsidR="009E549D" w:rsidRPr="00B34368" w:rsidRDefault="00FE7FBD" w:rsidP="00E205AA">
            <w:pPr>
              <w:adjustRightInd w:val="0"/>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易方达沪深</w:t>
            </w:r>
            <w:r w:rsidRPr="00B34368">
              <w:rPr>
                <w:rFonts w:eastAsiaTheme="minorEastAsia"/>
                <w:color w:val="000000" w:themeColor="text1"/>
                <w:sz w:val="24"/>
              </w:rPr>
              <w:t>300ETF</w:t>
            </w:r>
            <w:r w:rsidRPr="00B34368">
              <w:rPr>
                <w:rFonts w:eastAsiaTheme="minorEastAsia"/>
                <w:color w:val="000000" w:themeColor="text1"/>
                <w:sz w:val="24"/>
              </w:rPr>
              <w:t>发起式联接</w:t>
            </w:r>
            <w:r w:rsidRPr="00B34368">
              <w:rPr>
                <w:rFonts w:eastAsiaTheme="minorEastAsia"/>
                <w:color w:val="000000" w:themeColor="text1"/>
                <w:sz w:val="24"/>
              </w:rPr>
              <w:t>C</w:t>
            </w:r>
          </w:p>
        </w:tc>
      </w:tr>
      <w:tr w:rsidR="00D3639B" w:rsidRPr="00B34368" w:rsidTr="00973B57">
        <w:tc>
          <w:tcPr>
            <w:tcW w:w="3402" w:type="dxa"/>
          </w:tcPr>
          <w:p w:rsidR="005F293E" w:rsidRPr="00B34368" w:rsidRDefault="005F293E" w:rsidP="00973B57">
            <w:pPr>
              <w:adjustRightInd w:val="0"/>
              <w:spacing w:before="29" w:line="360" w:lineRule="auto"/>
              <w:ind w:left="17"/>
              <w:rPr>
                <w:rFonts w:eastAsiaTheme="minorEastAsia"/>
                <w:color w:val="000000" w:themeColor="text1"/>
                <w:kern w:val="0"/>
                <w:sz w:val="24"/>
              </w:rPr>
            </w:pPr>
            <w:r w:rsidRPr="00B34368">
              <w:rPr>
                <w:rFonts w:eastAsiaTheme="minorEastAsia"/>
                <w:color w:val="000000" w:themeColor="text1"/>
                <w:kern w:val="0"/>
                <w:sz w:val="24"/>
              </w:rPr>
              <w:t>1.</w:t>
            </w:r>
            <w:r w:rsidRPr="00B34368">
              <w:rPr>
                <w:rFonts w:eastAsiaTheme="minorEastAsia" w:hAnsiTheme="minorEastAsia"/>
                <w:color w:val="000000" w:themeColor="text1"/>
                <w:kern w:val="0"/>
                <w:sz w:val="24"/>
              </w:rPr>
              <w:t>本期已实现收益</w:t>
            </w:r>
          </w:p>
        </w:tc>
        <w:tc>
          <w:tcPr>
            <w:tcW w:w="2481" w:type="dxa"/>
            <w:vAlign w:val="bottom"/>
          </w:tcPr>
          <w:p w:rsidR="005F293E" w:rsidRPr="00B34368" w:rsidRDefault="005F293E" w:rsidP="00973B57">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194,662,947.17</w:t>
            </w:r>
          </w:p>
        </w:tc>
        <w:tc>
          <w:tcPr>
            <w:tcW w:w="2481" w:type="dxa"/>
            <w:vAlign w:val="bottom"/>
          </w:tcPr>
          <w:p w:rsidR="005F293E" w:rsidRPr="00B34368" w:rsidRDefault="00FE7FBD" w:rsidP="0037768B">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16,364,857.98</w:t>
            </w:r>
          </w:p>
        </w:tc>
      </w:tr>
      <w:tr w:rsidR="00D3639B" w:rsidRPr="00B34368" w:rsidTr="009A5C1D">
        <w:tc>
          <w:tcPr>
            <w:tcW w:w="3402" w:type="dxa"/>
          </w:tcPr>
          <w:p w:rsidR="005F293E" w:rsidRPr="00B34368" w:rsidRDefault="005F293E" w:rsidP="00E205AA">
            <w:pPr>
              <w:adjustRightInd w:val="0"/>
              <w:spacing w:before="29" w:line="360" w:lineRule="auto"/>
              <w:ind w:left="17"/>
              <w:rPr>
                <w:rFonts w:eastAsiaTheme="minorEastAsia"/>
                <w:color w:val="000000" w:themeColor="text1"/>
                <w:kern w:val="0"/>
                <w:sz w:val="24"/>
              </w:rPr>
            </w:pPr>
            <w:r w:rsidRPr="00B34368">
              <w:rPr>
                <w:rFonts w:eastAsiaTheme="minorEastAsia"/>
                <w:color w:val="000000" w:themeColor="text1"/>
                <w:kern w:val="0"/>
                <w:sz w:val="24"/>
              </w:rPr>
              <w:t>2.</w:t>
            </w:r>
            <w:r w:rsidRPr="00B34368">
              <w:rPr>
                <w:rFonts w:eastAsiaTheme="minorEastAsia" w:hAnsiTheme="minorEastAsia"/>
                <w:color w:val="000000" w:themeColor="text1"/>
                <w:kern w:val="0"/>
                <w:sz w:val="24"/>
              </w:rPr>
              <w:t>本期利润</w:t>
            </w:r>
          </w:p>
        </w:tc>
        <w:tc>
          <w:tcPr>
            <w:tcW w:w="2481" w:type="dxa"/>
            <w:vAlign w:val="bottom"/>
          </w:tcPr>
          <w:p w:rsidR="005F293E" w:rsidRPr="00B34368" w:rsidRDefault="005F293E" w:rsidP="004A67B0">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415,354,795.48</w:t>
            </w:r>
          </w:p>
        </w:tc>
        <w:tc>
          <w:tcPr>
            <w:tcW w:w="2481" w:type="dxa"/>
            <w:vAlign w:val="bottom"/>
          </w:tcPr>
          <w:p w:rsidR="005F293E" w:rsidRPr="00B34368" w:rsidRDefault="00FE7FBD" w:rsidP="004A67B0">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29,306,205.85</w:t>
            </w:r>
          </w:p>
        </w:tc>
      </w:tr>
      <w:tr w:rsidR="00D3639B" w:rsidRPr="00B34368" w:rsidTr="009A5C1D">
        <w:tc>
          <w:tcPr>
            <w:tcW w:w="3402" w:type="dxa"/>
          </w:tcPr>
          <w:p w:rsidR="005F293E" w:rsidRPr="00B34368" w:rsidRDefault="005F293E" w:rsidP="00E205AA">
            <w:pPr>
              <w:adjustRightInd w:val="0"/>
              <w:spacing w:before="29" w:line="360" w:lineRule="auto"/>
              <w:ind w:left="17"/>
              <w:rPr>
                <w:rFonts w:eastAsiaTheme="minorEastAsia"/>
                <w:color w:val="000000" w:themeColor="text1"/>
                <w:kern w:val="0"/>
                <w:sz w:val="24"/>
              </w:rPr>
            </w:pPr>
            <w:r w:rsidRPr="00B34368">
              <w:rPr>
                <w:rFonts w:eastAsiaTheme="minorEastAsia"/>
                <w:color w:val="000000" w:themeColor="text1"/>
                <w:kern w:val="0"/>
                <w:sz w:val="24"/>
              </w:rPr>
              <w:t>3.</w:t>
            </w:r>
            <w:r w:rsidRPr="00B34368">
              <w:rPr>
                <w:rFonts w:eastAsiaTheme="minorEastAsia" w:hAnsiTheme="minorEastAsia"/>
                <w:color w:val="000000" w:themeColor="text1"/>
                <w:kern w:val="0"/>
                <w:sz w:val="24"/>
              </w:rPr>
              <w:t>加权平均基金份额本期利润</w:t>
            </w:r>
          </w:p>
        </w:tc>
        <w:tc>
          <w:tcPr>
            <w:tcW w:w="2481" w:type="dxa"/>
            <w:vAlign w:val="bottom"/>
          </w:tcPr>
          <w:p w:rsidR="005F293E" w:rsidRPr="00B34368" w:rsidRDefault="005F293E" w:rsidP="004A67B0">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0.0926</w:t>
            </w:r>
          </w:p>
        </w:tc>
        <w:tc>
          <w:tcPr>
            <w:tcW w:w="2481" w:type="dxa"/>
            <w:vAlign w:val="bottom"/>
          </w:tcPr>
          <w:p w:rsidR="005F293E" w:rsidRPr="00B34368" w:rsidRDefault="00FE7FBD" w:rsidP="004A67B0">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0.0811</w:t>
            </w:r>
          </w:p>
        </w:tc>
      </w:tr>
      <w:tr w:rsidR="00D3639B" w:rsidRPr="00B34368" w:rsidTr="009A5C1D">
        <w:tc>
          <w:tcPr>
            <w:tcW w:w="3402" w:type="dxa"/>
          </w:tcPr>
          <w:p w:rsidR="005F293E" w:rsidRPr="00B34368" w:rsidRDefault="005F293E" w:rsidP="00E205AA">
            <w:pPr>
              <w:adjustRightInd w:val="0"/>
              <w:spacing w:before="29" w:line="360" w:lineRule="auto"/>
              <w:ind w:left="17"/>
              <w:rPr>
                <w:rFonts w:eastAsiaTheme="minorEastAsia"/>
                <w:color w:val="000000" w:themeColor="text1"/>
                <w:kern w:val="0"/>
                <w:sz w:val="24"/>
              </w:rPr>
            </w:pPr>
            <w:r w:rsidRPr="00B34368">
              <w:rPr>
                <w:rFonts w:eastAsiaTheme="minorEastAsia"/>
                <w:color w:val="000000" w:themeColor="text1"/>
                <w:kern w:val="0"/>
                <w:sz w:val="24"/>
              </w:rPr>
              <w:t>4.</w:t>
            </w:r>
            <w:r w:rsidRPr="00B34368">
              <w:rPr>
                <w:rFonts w:eastAsiaTheme="minorEastAsia" w:hAnsiTheme="minorEastAsia"/>
                <w:color w:val="000000" w:themeColor="text1"/>
                <w:kern w:val="0"/>
                <w:sz w:val="24"/>
              </w:rPr>
              <w:t>期末基金资产净值</w:t>
            </w:r>
          </w:p>
        </w:tc>
        <w:tc>
          <w:tcPr>
            <w:tcW w:w="2481" w:type="dxa"/>
          </w:tcPr>
          <w:p w:rsidR="005F293E" w:rsidRPr="00B34368" w:rsidRDefault="005F293E" w:rsidP="004A67B0">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5,836,476,876.30</w:t>
            </w:r>
          </w:p>
        </w:tc>
        <w:tc>
          <w:tcPr>
            <w:tcW w:w="2481" w:type="dxa"/>
          </w:tcPr>
          <w:p w:rsidR="005F293E" w:rsidRPr="00B34368" w:rsidRDefault="00FE7FBD" w:rsidP="004A67B0">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1,172,321,919.22</w:t>
            </w:r>
          </w:p>
        </w:tc>
      </w:tr>
      <w:tr w:rsidR="00D3639B" w:rsidRPr="00B34368" w:rsidTr="009A5C1D">
        <w:trPr>
          <w:trHeight w:val="158"/>
        </w:trPr>
        <w:tc>
          <w:tcPr>
            <w:tcW w:w="3402" w:type="dxa"/>
          </w:tcPr>
          <w:p w:rsidR="005F293E" w:rsidRPr="00B34368" w:rsidRDefault="005F293E" w:rsidP="00E205AA">
            <w:pPr>
              <w:adjustRightInd w:val="0"/>
              <w:spacing w:before="29" w:line="360" w:lineRule="auto"/>
              <w:ind w:left="17"/>
              <w:rPr>
                <w:rFonts w:eastAsiaTheme="minorEastAsia"/>
                <w:color w:val="000000" w:themeColor="text1"/>
                <w:kern w:val="0"/>
                <w:sz w:val="24"/>
              </w:rPr>
            </w:pPr>
            <w:r w:rsidRPr="00B34368">
              <w:rPr>
                <w:rFonts w:eastAsiaTheme="minorEastAsia"/>
                <w:color w:val="000000" w:themeColor="text1"/>
                <w:kern w:val="0"/>
                <w:sz w:val="24"/>
              </w:rPr>
              <w:t>5.</w:t>
            </w:r>
            <w:r w:rsidRPr="00B34368">
              <w:rPr>
                <w:rFonts w:eastAsiaTheme="minorEastAsia" w:hAnsiTheme="minorEastAsia"/>
                <w:color w:val="000000" w:themeColor="text1"/>
                <w:kern w:val="0"/>
                <w:sz w:val="24"/>
              </w:rPr>
              <w:t>期末基金份额净值</w:t>
            </w:r>
          </w:p>
        </w:tc>
        <w:tc>
          <w:tcPr>
            <w:tcW w:w="2481" w:type="dxa"/>
          </w:tcPr>
          <w:p w:rsidR="005F293E" w:rsidRPr="00B34368" w:rsidRDefault="005F293E" w:rsidP="004A67B0">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1.4241</w:t>
            </w:r>
          </w:p>
        </w:tc>
        <w:tc>
          <w:tcPr>
            <w:tcW w:w="2481" w:type="dxa"/>
          </w:tcPr>
          <w:p w:rsidR="005F293E" w:rsidRPr="00B34368" w:rsidRDefault="00FE7FBD" w:rsidP="004A67B0">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1.4222</w:t>
            </w:r>
          </w:p>
        </w:tc>
      </w:tr>
    </w:tbl>
    <w:p w:rsidR="003C69C1" w:rsidRDefault="008901F2">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所述基金业绩指标不包括持有人认购或交易基金的各项费用，计入费用后实际收益水平要低于所列数字。</w:t>
      </w:r>
    </w:p>
    <w:p w:rsidR="009238DB" w:rsidRPr="00B34368" w:rsidRDefault="005E01A3" w:rsidP="00B34368">
      <w:pPr>
        <w:autoSpaceDE w:val="0"/>
        <w:autoSpaceDN w:val="0"/>
        <w:adjustRightInd w:val="0"/>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2.</w:t>
      </w:r>
      <w:r w:rsidRPr="00B34368">
        <w:rPr>
          <w:rFonts w:eastAsiaTheme="minorEastAsia"/>
          <w:color w:val="000000" w:themeColor="text1"/>
          <w:sz w:val="24"/>
        </w:rPr>
        <w:t>本期已实现收益指基金本期利息收入、投资收益、其他收入（不含公允价值变动收益）扣除相关费用后的余额，本期利润为本期已实现收益加上本期公允价值变动收益。</w:t>
      </w:r>
    </w:p>
    <w:p w:rsidR="009238DB" w:rsidRPr="00B34368" w:rsidRDefault="009238DB"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 xml:space="preserve">3.2 </w:t>
      </w:r>
      <w:r w:rsidRPr="00B34368">
        <w:rPr>
          <w:rFonts w:eastAsiaTheme="minorEastAsia" w:hAnsiTheme="minorEastAsia"/>
          <w:b/>
          <w:color w:val="000000" w:themeColor="text1"/>
          <w:kern w:val="0"/>
          <w:sz w:val="24"/>
        </w:rPr>
        <w:t>基金净值表现</w:t>
      </w:r>
    </w:p>
    <w:p w:rsidR="009238DB" w:rsidRPr="00B34368" w:rsidRDefault="009238DB" w:rsidP="00FC13C8">
      <w:pPr>
        <w:autoSpaceDE w:val="0"/>
        <w:autoSpaceDN w:val="0"/>
        <w:adjustRightInd w:val="0"/>
        <w:spacing w:line="360" w:lineRule="auto"/>
        <w:jc w:val="left"/>
        <w:rPr>
          <w:rFonts w:eastAsiaTheme="minorEastAsia"/>
          <w:b/>
          <w:color w:val="000000" w:themeColor="text1"/>
          <w:kern w:val="0"/>
          <w:sz w:val="24"/>
        </w:rPr>
      </w:pPr>
      <w:r w:rsidRPr="00B34368">
        <w:rPr>
          <w:rFonts w:eastAsiaTheme="minorEastAsia"/>
          <w:b/>
          <w:color w:val="000000" w:themeColor="text1"/>
          <w:kern w:val="0"/>
          <w:sz w:val="24"/>
        </w:rPr>
        <w:t>3.2.1</w:t>
      </w:r>
      <w:r w:rsidRPr="00B34368">
        <w:rPr>
          <w:rFonts w:eastAsiaTheme="minorEastAsia" w:hAnsiTheme="minorEastAsia"/>
          <w:b/>
          <w:color w:val="000000" w:themeColor="text1"/>
          <w:kern w:val="0"/>
          <w:sz w:val="24"/>
        </w:rPr>
        <w:t>本报告期基金份额净值增长率及其与同期业绩比较基准收益率的比较</w:t>
      </w:r>
    </w:p>
    <w:p w:rsidR="009238DB" w:rsidRPr="00B34368" w:rsidRDefault="00A5643A" w:rsidP="00FC13C8">
      <w:pPr>
        <w:spacing w:line="360" w:lineRule="auto"/>
        <w:rPr>
          <w:rFonts w:eastAsiaTheme="minorEastAsia"/>
          <w:b/>
          <w:color w:val="000000" w:themeColor="text1"/>
          <w:sz w:val="24"/>
        </w:rPr>
      </w:pPr>
      <w:r w:rsidRPr="00B34368">
        <w:rPr>
          <w:rFonts w:eastAsiaTheme="minorEastAsia"/>
          <w:b/>
          <w:color w:val="000000" w:themeColor="text1"/>
          <w:kern w:val="0"/>
          <w:sz w:val="24"/>
        </w:rPr>
        <w:t>易方达沪深</w:t>
      </w:r>
      <w:r w:rsidRPr="00B34368">
        <w:rPr>
          <w:rFonts w:eastAsiaTheme="minorEastAsia"/>
          <w:b/>
          <w:color w:val="000000" w:themeColor="text1"/>
          <w:kern w:val="0"/>
          <w:sz w:val="24"/>
        </w:rPr>
        <w:t>300ETF</w:t>
      </w:r>
      <w:r w:rsidRPr="00B34368">
        <w:rPr>
          <w:rFonts w:eastAsiaTheme="minorEastAsia"/>
          <w:b/>
          <w:color w:val="000000" w:themeColor="text1"/>
          <w:kern w:val="0"/>
          <w:sz w:val="24"/>
        </w:rPr>
        <w:t>发起式联接</w:t>
      </w:r>
      <w:r w:rsidRPr="00B34368">
        <w:rPr>
          <w:rFonts w:eastAsiaTheme="minorEastAsia"/>
          <w:b/>
          <w:color w:val="000000" w:themeColor="text1"/>
          <w:kern w:val="0"/>
          <w:sz w:val="24"/>
        </w:rPr>
        <w:t>A</w:t>
      </w:r>
      <w:r w:rsidR="009238DB" w:rsidRPr="00B34368">
        <w:rPr>
          <w:rFonts w:eastAsiaTheme="minorEastAsia" w:hAnsiTheme="minorEastAsia"/>
          <w:b/>
          <w:color w:val="000000" w:themeColor="text1"/>
          <w:sz w:val="24"/>
        </w:rPr>
        <w:t>：</w:t>
      </w:r>
    </w:p>
    <w:tbl>
      <w:tblPr>
        <w:tblStyle w:val="af2"/>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D3639B" w:rsidRPr="00B34368" w:rsidTr="00975D18">
        <w:tc>
          <w:tcPr>
            <w:tcW w:w="1290"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阶段</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净值增长率①</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净值增长率标准差②</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业绩比较基准收益率③</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业绩比较基准收益率标准差④</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①－③</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②－④</w:t>
            </w:r>
          </w:p>
        </w:tc>
      </w:tr>
      <w:tr w:rsidR="003C69C1">
        <w:tc>
          <w:tcPr>
            <w:tcW w:w="0" w:type="auto"/>
            <w:vAlign w:val="center"/>
          </w:tcPr>
          <w:p w:rsidR="003C69C1" w:rsidRDefault="008901F2">
            <w:pPr>
              <w:jc w:val="left"/>
            </w:pPr>
            <w:r>
              <w:rPr>
                <w:rFonts w:eastAsiaTheme="minorEastAsia"/>
                <w:color w:val="000000" w:themeColor="text1"/>
                <w:sz w:val="24"/>
              </w:rPr>
              <w:t>过去三个月</w:t>
            </w:r>
          </w:p>
        </w:tc>
        <w:tc>
          <w:tcPr>
            <w:tcW w:w="0" w:type="auto"/>
            <w:vAlign w:val="center"/>
          </w:tcPr>
          <w:p w:rsidR="003C69C1" w:rsidRDefault="008901F2">
            <w:pPr>
              <w:jc w:val="right"/>
            </w:pPr>
            <w:r>
              <w:rPr>
                <w:rFonts w:eastAsiaTheme="minorEastAsia"/>
                <w:color w:val="000000" w:themeColor="text1"/>
                <w:sz w:val="24"/>
              </w:rPr>
              <w:t>6.86%</w:t>
            </w:r>
          </w:p>
        </w:tc>
        <w:tc>
          <w:tcPr>
            <w:tcW w:w="0" w:type="auto"/>
            <w:vAlign w:val="center"/>
          </w:tcPr>
          <w:p w:rsidR="003C69C1" w:rsidRDefault="008901F2">
            <w:pPr>
              <w:jc w:val="right"/>
            </w:pPr>
            <w:r>
              <w:rPr>
                <w:rFonts w:eastAsiaTheme="minorEastAsia"/>
                <w:color w:val="000000" w:themeColor="text1"/>
                <w:sz w:val="24"/>
              </w:rPr>
              <w:t>0.70%</w:t>
            </w:r>
          </w:p>
        </w:tc>
        <w:tc>
          <w:tcPr>
            <w:tcW w:w="0" w:type="auto"/>
            <w:vAlign w:val="center"/>
          </w:tcPr>
          <w:p w:rsidR="003C69C1" w:rsidRDefault="008901F2">
            <w:pPr>
              <w:jc w:val="right"/>
            </w:pPr>
            <w:r>
              <w:rPr>
                <w:rFonts w:eastAsiaTheme="minorEastAsia"/>
                <w:color w:val="000000" w:themeColor="text1"/>
                <w:sz w:val="24"/>
              </w:rPr>
              <w:t>7.03%</w:t>
            </w:r>
          </w:p>
        </w:tc>
        <w:tc>
          <w:tcPr>
            <w:tcW w:w="0" w:type="auto"/>
            <w:vAlign w:val="center"/>
          </w:tcPr>
          <w:p w:rsidR="003C69C1" w:rsidRDefault="008901F2">
            <w:pPr>
              <w:jc w:val="right"/>
            </w:pPr>
            <w:r>
              <w:rPr>
                <w:rFonts w:eastAsiaTheme="minorEastAsia"/>
                <w:color w:val="000000" w:themeColor="text1"/>
                <w:sz w:val="24"/>
              </w:rPr>
              <w:t>0.70%</w:t>
            </w:r>
          </w:p>
        </w:tc>
        <w:tc>
          <w:tcPr>
            <w:tcW w:w="0" w:type="auto"/>
            <w:vAlign w:val="center"/>
          </w:tcPr>
          <w:p w:rsidR="003C69C1" w:rsidRDefault="008901F2">
            <w:pPr>
              <w:jc w:val="right"/>
            </w:pPr>
            <w:r>
              <w:rPr>
                <w:rFonts w:eastAsiaTheme="minorEastAsia"/>
                <w:color w:val="000000" w:themeColor="text1"/>
                <w:sz w:val="24"/>
              </w:rPr>
              <w:t>-0.17%</w:t>
            </w:r>
          </w:p>
        </w:tc>
        <w:tc>
          <w:tcPr>
            <w:tcW w:w="0" w:type="auto"/>
            <w:vAlign w:val="center"/>
          </w:tcPr>
          <w:p w:rsidR="003C69C1" w:rsidRDefault="008901F2">
            <w:pPr>
              <w:jc w:val="right"/>
            </w:pPr>
            <w:r>
              <w:rPr>
                <w:rFonts w:eastAsiaTheme="minorEastAsia"/>
                <w:color w:val="000000" w:themeColor="text1"/>
                <w:sz w:val="24"/>
              </w:rPr>
              <w:t>0.00%</w:t>
            </w:r>
          </w:p>
        </w:tc>
      </w:tr>
    </w:tbl>
    <w:p w:rsidR="009238DB" w:rsidRPr="00B34368" w:rsidRDefault="00FE7FBD" w:rsidP="00C544B8">
      <w:pPr>
        <w:adjustRightInd w:val="0"/>
        <w:spacing w:beforeLines="100" w:before="312" w:line="360" w:lineRule="auto"/>
        <w:rPr>
          <w:rFonts w:eastAsiaTheme="minorEastAsia"/>
          <w:b/>
          <w:color w:val="000000" w:themeColor="text1"/>
          <w:kern w:val="0"/>
          <w:sz w:val="24"/>
        </w:rPr>
      </w:pPr>
      <w:r w:rsidRPr="00B34368">
        <w:rPr>
          <w:rFonts w:eastAsiaTheme="minorEastAsia"/>
          <w:b/>
          <w:color w:val="000000" w:themeColor="text1"/>
          <w:kern w:val="0"/>
          <w:sz w:val="24"/>
        </w:rPr>
        <w:t>易方达沪深</w:t>
      </w:r>
      <w:r w:rsidRPr="00B34368">
        <w:rPr>
          <w:rFonts w:eastAsiaTheme="minorEastAsia"/>
          <w:b/>
          <w:color w:val="000000" w:themeColor="text1"/>
          <w:kern w:val="0"/>
          <w:sz w:val="24"/>
        </w:rPr>
        <w:t>300ETF</w:t>
      </w:r>
      <w:r w:rsidRPr="00B34368">
        <w:rPr>
          <w:rFonts w:eastAsiaTheme="minorEastAsia"/>
          <w:b/>
          <w:color w:val="000000" w:themeColor="text1"/>
          <w:kern w:val="0"/>
          <w:sz w:val="24"/>
        </w:rPr>
        <w:t>发起式联接</w:t>
      </w:r>
      <w:r w:rsidRPr="00B34368">
        <w:rPr>
          <w:rFonts w:eastAsiaTheme="minorEastAsia"/>
          <w:b/>
          <w:color w:val="000000" w:themeColor="text1"/>
          <w:kern w:val="0"/>
          <w:sz w:val="24"/>
        </w:rPr>
        <w:t>C</w:t>
      </w:r>
      <w:r w:rsidR="009238DB" w:rsidRPr="00B34368">
        <w:rPr>
          <w:rFonts w:eastAsiaTheme="minorEastAsia" w:hAnsiTheme="minorEastAsia"/>
          <w:b/>
          <w:color w:val="000000" w:themeColor="text1"/>
          <w:kern w:val="0"/>
          <w:sz w:val="24"/>
        </w:rPr>
        <w:t>：</w:t>
      </w:r>
    </w:p>
    <w:tbl>
      <w:tblPr>
        <w:tblStyle w:val="af2"/>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D3639B" w:rsidRPr="00B34368" w:rsidTr="00975D18">
        <w:tc>
          <w:tcPr>
            <w:tcW w:w="1290"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阶段</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highlight w:val="green"/>
              </w:rPr>
            </w:pPr>
            <w:r w:rsidRPr="00B34368">
              <w:rPr>
                <w:rFonts w:eastAsiaTheme="minorEastAsia" w:hAnsiTheme="minorEastAsia"/>
                <w:color w:val="000000" w:themeColor="text1"/>
                <w:sz w:val="24"/>
              </w:rPr>
              <w:t>净值增长率①</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highlight w:val="green"/>
              </w:rPr>
            </w:pPr>
            <w:r w:rsidRPr="00B34368">
              <w:rPr>
                <w:rFonts w:eastAsiaTheme="minorEastAsia" w:hAnsiTheme="minorEastAsia"/>
                <w:color w:val="000000" w:themeColor="text1"/>
                <w:sz w:val="24"/>
              </w:rPr>
              <w:t>净值增长率标准差②</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业绩比较基准收益率③</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业绩比较基准收益率标准差④</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①－③</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②－④</w:t>
            </w:r>
          </w:p>
        </w:tc>
      </w:tr>
      <w:tr w:rsidR="003C69C1">
        <w:tc>
          <w:tcPr>
            <w:tcW w:w="0" w:type="auto"/>
            <w:vAlign w:val="center"/>
          </w:tcPr>
          <w:p w:rsidR="003C69C1" w:rsidRDefault="008901F2">
            <w:pPr>
              <w:jc w:val="left"/>
            </w:pPr>
            <w:r>
              <w:rPr>
                <w:rFonts w:eastAsiaTheme="minorEastAsia"/>
                <w:color w:val="000000" w:themeColor="text1"/>
                <w:sz w:val="24"/>
              </w:rPr>
              <w:t>过去三个月</w:t>
            </w:r>
          </w:p>
        </w:tc>
        <w:tc>
          <w:tcPr>
            <w:tcW w:w="0" w:type="auto"/>
            <w:vAlign w:val="center"/>
          </w:tcPr>
          <w:p w:rsidR="003C69C1" w:rsidRDefault="008901F2">
            <w:pPr>
              <w:jc w:val="right"/>
            </w:pPr>
            <w:r>
              <w:rPr>
                <w:rFonts w:eastAsiaTheme="minorEastAsia"/>
                <w:color w:val="000000" w:themeColor="text1"/>
                <w:sz w:val="24"/>
              </w:rPr>
              <w:t>6.81%</w:t>
            </w:r>
          </w:p>
        </w:tc>
        <w:tc>
          <w:tcPr>
            <w:tcW w:w="0" w:type="auto"/>
            <w:vAlign w:val="center"/>
          </w:tcPr>
          <w:p w:rsidR="003C69C1" w:rsidRDefault="008901F2">
            <w:pPr>
              <w:jc w:val="right"/>
            </w:pPr>
            <w:r>
              <w:rPr>
                <w:rFonts w:eastAsiaTheme="minorEastAsia"/>
                <w:color w:val="000000" w:themeColor="text1"/>
                <w:sz w:val="24"/>
              </w:rPr>
              <w:t>0.69%</w:t>
            </w:r>
          </w:p>
        </w:tc>
        <w:tc>
          <w:tcPr>
            <w:tcW w:w="0" w:type="auto"/>
            <w:vAlign w:val="center"/>
          </w:tcPr>
          <w:p w:rsidR="003C69C1" w:rsidRDefault="008901F2">
            <w:pPr>
              <w:jc w:val="right"/>
            </w:pPr>
            <w:r>
              <w:rPr>
                <w:rFonts w:eastAsiaTheme="minorEastAsia"/>
                <w:color w:val="000000" w:themeColor="text1"/>
                <w:sz w:val="24"/>
              </w:rPr>
              <w:t>7.03%</w:t>
            </w:r>
          </w:p>
        </w:tc>
        <w:tc>
          <w:tcPr>
            <w:tcW w:w="0" w:type="auto"/>
            <w:vAlign w:val="center"/>
          </w:tcPr>
          <w:p w:rsidR="003C69C1" w:rsidRDefault="008901F2">
            <w:pPr>
              <w:jc w:val="right"/>
            </w:pPr>
            <w:r>
              <w:rPr>
                <w:rFonts w:eastAsiaTheme="minorEastAsia"/>
                <w:color w:val="000000" w:themeColor="text1"/>
                <w:sz w:val="24"/>
              </w:rPr>
              <w:t>0.70%</w:t>
            </w:r>
          </w:p>
        </w:tc>
        <w:tc>
          <w:tcPr>
            <w:tcW w:w="0" w:type="auto"/>
            <w:vAlign w:val="center"/>
          </w:tcPr>
          <w:p w:rsidR="003C69C1" w:rsidRDefault="008901F2">
            <w:pPr>
              <w:jc w:val="right"/>
            </w:pPr>
            <w:r>
              <w:rPr>
                <w:rFonts w:eastAsiaTheme="minorEastAsia"/>
                <w:color w:val="000000" w:themeColor="text1"/>
                <w:sz w:val="24"/>
              </w:rPr>
              <w:t>-0.22%</w:t>
            </w:r>
          </w:p>
        </w:tc>
        <w:tc>
          <w:tcPr>
            <w:tcW w:w="0" w:type="auto"/>
            <w:vAlign w:val="center"/>
          </w:tcPr>
          <w:p w:rsidR="003C69C1" w:rsidRDefault="008901F2">
            <w:pPr>
              <w:jc w:val="right"/>
            </w:pPr>
            <w:r>
              <w:rPr>
                <w:rFonts w:eastAsiaTheme="minorEastAsia"/>
                <w:color w:val="000000" w:themeColor="text1"/>
                <w:sz w:val="24"/>
              </w:rPr>
              <w:t>-0.01%</w:t>
            </w:r>
          </w:p>
        </w:tc>
      </w:tr>
    </w:tbl>
    <w:p w:rsidR="009238DB" w:rsidRPr="00B34368" w:rsidRDefault="009238DB" w:rsidP="00C544B8">
      <w:pPr>
        <w:spacing w:beforeLines="100" w:before="312" w:line="360" w:lineRule="auto"/>
        <w:rPr>
          <w:rFonts w:eastAsiaTheme="minorEastAsia"/>
          <w:b/>
          <w:color w:val="000000" w:themeColor="text1"/>
          <w:kern w:val="0"/>
          <w:sz w:val="24"/>
        </w:rPr>
      </w:pPr>
      <w:r w:rsidRPr="00B34368">
        <w:rPr>
          <w:rFonts w:eastAsiaTheme="minorEastAsia"/>
          <w:b/>
          <w:color w:val="000000" w:themeColor="text1"/>
          <w:kern w:val="0"/>
          <w:sz w:val="24"/>
        </w:rPr>
        <w:t>3.2.2</w:t>
      </w:r>
      <w:r w:rsidRPr="00B34368">
        <w:rPr>
          <w:rFonts w:eastAsiaTheme="minorEastAsia" w:hAnsiTheme="minorEastAsia"/>
          <w:b/>
          <w:color w:val="000000" w:themeColor="text1"/>
          <w:kern w:val="0"/>
          <w:sz w:val="24"/>
        </w:rPr>
        <w:t xml:space="preserve">　</w:t>
      </w:r>
      <w:r w:rsidR="00FE0C8B" w:rsidRPr="00B34368">
        <w:rPr>
          <w:rStyle w:val="af6"/>
          <w:rFonts w:eastAsiaTheme="minorEastAsia"/>
          <w:color w:val="000000" w:themeColor="text1"/>
          <w:sz w:val="24"/>
          <w:shd w:val="clear" w:color="auto" w:fill="FFFFFF"/>
        </w:rPr>
        <w:t>自基金合同生效以来</w:t>
      </w:r>
      <w:r w:rsidR="00BF57BE" w:rsidRPr="00B34368">
        <w:rPr>
          <w:rFonts w:eastAsiaTheme="minorEastAsia" w:hAnsiTheme="minorEastAsia"/>
          <w:b/>
          <w:color w:val="000000" w:themeColor="text1"/>
          <w:sz w:val="24"/>
        </w:rPr>
        <w:t>基金累计净值增长率变动及其与同期业绩比较基准收益率变动的比较</w:t>
      </w:r>
    </w:p>
    <w:p w:rsidR="009A045B" w:rsidRPr="00B34368" w:rsidRDefault="009A045B" w:rsidP="00FC13C8">
      <w:pPr>
        <w:spacing w:line="360" w:lineRule="auto"/>
        <w:jc w:val="center"/>
        <w:rPr>
          <w:rFonts w:eastAsiaTheme="minorEastAsia"/>
          <w:color w:val="000000" w:themeColor="text1"/>
          <w:sz w:val="24"/>
        </w:rPr>
      </w:pPr>
      <w:r w:rsidRPr="00B34368">
        <w:rPr>
          <w:rFonts w:eastAsiaTheme="minorEastAsia"/>
          <w:color w:val="000000" w:themeColor="text1"/>
          <w:sz w:val="24"/>
        </w:rPr>
        <w:t>易方达沪深</w:t>
      </w:r>
      <w:r w:rsidRPr="00B34368">
        <w:rPr>
          <w:rFonts w:eastAsiaTheme="minorEastAsia"/>
          <w:color w:val="000000" w:themeColor="text1"/>
          <w:sz w:val="24"/>
        </w:rPr>
        <w:t>300</w:t>
      </w:r>
      <w:r w:rsidRPr="00B34368">
        <w:rPr>
          <w:rFonts w:eastAsiaTheme="minorEastAsia"/>
          <w:color w:val="000000" w:themeColor="text1"/>
          <w:sz w:val="24"/>
        </w:rPr>
        <w:t>交易型开放式指数发起式证券投资基金联接基金</w:t>
      </w:r>
    </w:p>
    <w:p w:rsidR="00F84D52" w:rsidRDefault="00022396" w:rsidP="00F84D52">
      <w:pPr>
        <w:pStyle w:val="a5"/>
        <w:snapToGrid w:val="0"/>
        <w:spacing w:line="360" w:lineRule="auto"/>
        <w:ind w:firstLine="480"/>
        <w:jc w:val="center"/>
        <w:rPr>
          <w:rFonts w:ascii="Times New Roman" w:eastAsiaTheme="minorEastAsia" w:hAnsi="Times New Roman"/>
          <w:color w:val="000000" w:themeColor="text1"/>
          <w:sz w:val="24"/>
          <w:szCs w:val="24"/>
        </w:rPr>
      </w:pPr>
      <w:r w:rsidRPr="00B34368">
        <w:rPr>
          <w:rFonts w:ascii="Times New Roman" w:eastAsiaTheme="minorEastAsia" w:hAnsiTheme="minorEastAsia"/>
          <w:color w:val="000000" w:themeColor="text1"/>
          <w:sz w:val="24"/>
          <w:szCs w:val="24"/>
        </w:rPr>
        <w:t>累计净值增长率与业绩比较基准收益率的历史走势对比图</w:t>
      </w:r>
    </w:p>
    <w:p w:rsidR="00F84D52" w:rsidRDefault="0042785F" w:rsidP="00F84D52">
      <w:pPr>
        <w:snapToGrid w:val="0"/>
        <w:spacing w:line="360" w:lineRule="auto"/>
        <w:rPr>
          <w:rFonts w:eastAsiaTheme="minorEastAsia" w:hAnsiTheme="minorEastAsia"/>
          <w:color w:val="000000" w:themeColor="text1"/>
          <w:sz w:val="24"/>
        </w:rPr>
      </w:pPr>
      <w:r w:rsidRPr="00B34368">
        <w:rPr>
          <w:rFonts w:eastAsiaTheme="minorEastAsia"/>
          <w:color w:val="000000" w:themeColor="text1"/>
          <w:sz w:val="24"/>
        </w:rPr>
        <w:t>易方达沪深</w:t>
      </w:r>
      <w:r w:rsidRPr="00B34368">
        <w:rPr>
          <w:rFonts w:eastAsiaTheme="minorEastAsia"/>
          <w:color w:val="000000" w:themeColor="text1"/>
          <w:sz w:val="24"/>
        </w:rPr>
        <w:t>300ETF</w:t>
      </w:r>
      <w:r w:rsidRPr="00B34368">
        <w:rPr>
          <w:rFonts w:eastAsiaTheme="minorEastAsia"/>
          <w:color w:val="000000" w:themeColor="text1"/>
          <w:sz w:val="24"/>
        </w:rPr>
        <w:t>发起式联接</w:t>
      </w:r>
      <w:r w:rsidRPr="00B34368">
        <w:rPr>
          <w:rFonts w:eastAsiaTheme="minorEastAsia"/>
          <w:color w:val="000000" w:themeColor="text1"/>
          <w:sz w:val="24"/>
        </w:rPr>
        <w:t>A</w:t>
      </w:r>
      <w:r w:rsidR="009238DB" w:rsidRPr="00B34368">
        <w:rPr>
          <w:rFonts w:eastAsiaTheme="minorEastAsia" w:hAnsiTheme="minorEastAsia"/>
          <w:color w:val="000000" w:themeColor="text1"/>
          <w:sz w:val="24"/>
        </w:rPr>
        <w:t>：</w:t>
      </w:r>
    </w:p>
    <w:p w:rsidR="009238DB" w:rsidRPr="00F84D52" w:rsidRDefault="00F84D52" w:rsidP="00937445">
      <w:pPr>
        <w:pStyle w:val="a5"/>
        <w:snapToGrid w:val="0"/>
        <w:spacing w:line="360" w:lineRule="auto"/>
        <w:jc w:val="center"/>
        <w:rPr>
          <w:rFonts w:ascii="Times New Roman" w:hAnsi="Times New Roman"/>
          <w:sz w:val="24"/>
          <w:szCs w:val="24"/>
        </w:rPr>
      </w:pPr>
      <w:r w:rsidRPr="00F84D52">
        <w:rPr>
          <w:rFonts w:ascii="Times New Roman" w:hAnsi="Times New Roman"/>
          <w:sz w:val="24"/>
          <w:szCs w:val="24"/>
        </w:rPr>
        <w:t>（</w:t>
      </w:r>
      <w:r w:rsidRPr="00F84D52">
        <w:rPr>
          <w:rFonts w:ascii="Times New Roman" w:hAnsi="Times New Roman"/>
          <w:sz w:val="24"/>
          <w:szCs w:val="24"/>
        </w:rPr>
        <w:t>2009</w:t>
      </w:r>
      <w:r w:rsidRPr="00F84D52">
        <w:rPr>
          <w:rFonts w:ascii="Times New Roman" w:hAnsi="Times New Roman"/>
          <w:sz w:val="24"/>
          <w:szCs w:val="24"/>
        </w:rPr>
        <w:t>年</w:t>
      </w:r>
      <w:r w:rsidRPr="00F84D52">
        <w:rPr>
          <w:rFonts w:ascii="Times New Roman" w:hAnsi="Times New Roman"/>
          <w:sz w:val="24"/>
          <w:szCs w:val="24"/>
        </w:rPr>
        <w:t>8</w:t>
      </w:r>
      <w:r w:rsidRPr="00F84D52">
        <w:rPr>
          <w:rFonts w:ascii="Times New Roman" w:hAnsi="Times New Roman"/>
          <w:sz w:val="24"/>
          <w:szCs w:val="24"/>
        </w:rPr>
        <w:t>月</w:t>
      </w:r>
      <w:r w:rsidRPr="00F84D52">
        <w:rPr>
          <w:rFonts w:ascii="Times New Roman" w:hAnsi="Times New Roman"/>
          <w:sz w:val="24"/>
          <w:szCs w:val="24"/>
        </w:rPr>
        <w:t>26</w:t>
      </w:r>
      <w:r w:rsidRPr="00F84D52">
        <w:rPr>
          <w:rFonts w:ascii="Times New Roman" w:hAnsi="Times New Roman"/>
          <w:sz w:val="24"/>
          <w:szCs w:val="24"/>
        </w:rPr>
        <w:t>日至</w:t>
      </w:r>
      <w:r w:rsidRPr="00F84D52">
        <w:rPr>
          <w:rFonts w:ascii="Times New Roman" w:hAnsi="Times New Roman"/>
          <w:sz w:val="24"/>
          <w:szCs w:val="24"/>
        </w:rPr>
        <w:t>2019</w:t>
      </w:r>
      <w:r w:rsidRPr="00F84D52">
        <w:rPr>
          <w:rFonts w:ascii="Times New Roman" w:hAnsi="Times New Roman"/>
          <w:sz w:val="24"/>
          <w:szCs w:val="24"/>
        </w:rPr>
        <w:t>年</w:t>
      </w:r>
      <w:r w:rsidRPr="00F84D52">
        <w:rPr>
          <w:rFonts w:ascii="Times New Roman" w:hAnsi="Times New Roman"/>
          <w:sz w:val="24"/>
          <w:szCs w:val="24"/>
        </w:rPr>
        <w:t>12</w:t>
      </w:r>
      <w:r w:rsidRPr="00F84D52">
        <w:rPr>
          <w:rFonts w:ascii="Times New Roman" w:hAnsi="Times New Roman"/>
          <w:sz w:val="24"/>
          <w:szCs w:val="24"/>
        </w:rPr>
        <w:t>月</w:t>
      </w:r>
      <w:r w:rsidRPr="00F84D52">
        <w:rPr>
          <w:rFonts w:ascii="Times New Roman" w:hAnsi="Times New Roman"/>
          <w:sz w:val="24"/>
          <w:szCs w:val="24"/>
        </w:rPr>
        <w:t>31</w:t>
      </w:r>
      <w:r w:rsidRPr="00F84D52">
        <w:rPr>
          <w:rFonts w:ascii="Times New Roman" w:hAnsi="Times New Roman"/>
          <w:sz w:val="24"/>
          <w:szCs w:val="24"/>
        </w:rPr>
        <w:t>日）</w:t>
      </w:r>
    </w:p>
    <w:p w:rsidR="00FC7F43" w:rsidRPr="00B34368" w:rsidRDefault="006F5B4C" w:rsidP="00FC7F43">
      <w:pPr>
        <w:pStyle w:val="20"/>
        <w:spacing w:line="288" w:lineRule="auto"/>
        <w:ind w:firstLineChars="0" w:firstLine="0"/>
        <w:jc w:val="center"/>
        <w:rPr>
          <w:rFonts w:ascii="Times New Roman" w:eastAsiaTheme="minorEastAsia" w:hAnsi="Times New Roman"/>
          <w:color w:val="000000" w:themeColor="text1"/>
        </w:rPr>
      </w:pPr>
      <w:r w:rsidRPr="00B34368">
        <w:rPr>
          <w:rFonts w:ascii="Times New Roman" w:eastAsiaTheme="minorEastAsia" w:hAnsi="Times New Roman"/>
          <w:noProof/>
          <w:color w:val="000000" w:themeColor="text1"/>
        </w:rPr>
        <w:drawing>
          <wp:inline distT="0" distB="0" distL="0" distR="0">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F84D52" w:rsidRDefault="00FE7FBD" w:rsidP="00F84D52">
      <w:pPr>
        <w:snapToGrid w:val="0"/>
        <w:spacing w:beforeLines="100" w:before="312" w:line="360" w:lineRule="auto"/>
        <w:rPr>
          <w:rFonts w:eastAsiaTheme="minorEastAsia" w:hAnsiTheme="minorEastAsia"/>
          <w:color w:val="000000" w:themeColor="text1"/>
          <w:sz w:val="24"/>
        </w:rPr>
      </w:pPr>
      <w:r w:rsidRPr="00B34368">
        <w:rPr>
          <w:rFonts w:eastAsiaTheme="minorEastAsia"/>
          <w:color w:val="000000" w:themeColor="text1"/>
          <w:sz w:val="24"/>
        </w:rPr>
        <w:t>易方达沪深</w:t>
      </w:r>
      <w:r w:rsidRPr="00B34368">
        <w:rPr>
          <w:rFonts w:eastAsiaTheme="minorEastAsia"/>
          <w:color w:val="000000" w:themeColor="text1"/>
          <w:sz w:val="24"/>
        </w:rPr>
        <w:t>300ETF</w:t>
      </w:r>
      <w:r w:rsidRPr="00B34368">
        <w:rPr>
          <w:rFonts w:eastAsiaTheme="minorEastAsia"/>
          <w:color w:val="000000" w:themeColor="text1"/>
          <w:sz w:val="24"/>
        </w:rPr>
        <w:t>发起式联接</w:t>
      </w:r>
      <w:r w:rsidRPr="00B34368">
        <w:rPr>
          <w:rFonts w:eastAsiaTheme="minorEastAsia"/>
          <w:color w:val="000000" w:themeColor="text1"/>
          <w:sz w:val="24"/>
        </w:rPr>
        <w:t>C</w:t>
      </w:r>
      <w:r w:rsidR="0042785F" w:rsidRPr="00B34368">
        <w:rPr>
          <w:rFonts w:eastAsiaTheme="minorEastAsia" w:hAnsiTheme="minorEastAsia"/>
          <w:color w:val="000000" w:themeColor="text1"/>
          <w:sz w:val="24"/>
        </w:rPr>
        <w:t>：</w:t>
      </w:r>
    </w:p>
    <w:p w:rsidR="009238DB" w:rsidRPr="00F84D52" w:rsidRDefault="00F84D52" w:rsidP="00937445">
      <w:pPr>
        <w:pStyle w:val="a5"/>
        <w:snapToGrid w:val="0"/>
        <w:spacing w:line="360" w:lineRule="auto"/>
        <w:jc w:val="center"/>
        <w:rPr>
          <w:rFonts w:ascii="Times New Roman" w:hAnsi="Times New Roman"/>
          <w:sz w:val="24"/>
          <w:szCs w:val="24"/>
        </w:rPr>
      </w:pPr>
      <w:r w:rsidRPr="00F84D52">
        <w:rPr>
          <w:rFonts w:ascii="Times New Roman" w:hAnsi="Times New Roman"/>
          <w:sz w:val="24"/>
          <w:szCs w:val="24"/>
        </w:rPr>
        <w:t>（</w:t>
      </w:r>
      <w:r w:rsidRPr="00F84D52">
        <w:rPr>
          <w:rFonts w:ascii="Times New Roman" w:hAnsi="Times New Roman"/>
          <w:sz w:val="24"/>
          <w:szCs w:val="24"/>
        </w:rPr>
        <w:t>2019</w:t>
      </w:r>
      <w:r w:rsidRPr="00F84D52">
        <w:rPr>
          <w:rFonts w:ascii="Times New Roman" w:hAnsi="Times New Roman"/>
          <w:sz w:val="24"/>
          <w:szCs w:val="24"/>
        </w:rPr>
        <w:t>年</w:t>
      </w:r>
      <w:r w:rsidRPr="00F84D52">
        <w:rPr>
          <w:rFonts w:ascii="Times New Roman" w:hAnsi="Times New Roman"/>
          <w:sz w:val="24"/>
          <w:szCs w:val="24"/>
        </w:rPr>
        <w:t>4</w:t>
      </w:r>
      <w:r w:rsidRPr="00F84D52">
        <w:rPr>
          <w:rFonts w:ascii="Times New Roman" w:hAnsi="Times New Roman"/>
          <w:sz w:val="24"/>
          <w:szCs w:val="24"/>
        </w:rPr>
        <w:t>月</w:t>
      </w:r>
      <w:r w:rsidRPr="00F84D52">
        <w:rPr>
          <w:rFonts w:ascii="Times New Roman" w:hAnsi="Times New Roman"/>
          <w:sz w:val="24"/>
          <w:szCs w:val="24"/>
        </w:rPr>
        <w:t>26</w:t>
      </w:r>
      <w:r w:rsidRPr="00F84D52">
        <w:rPr>
          <w:rFonts w:ascii="Times New Roman" w:hAnsi="Times New Roman"/>
          <w:sz w:val="24"/>
          <w:szCs w:val="24"/>
        </w:rPr>
        <w:t>日至</w:t>
      </w:r>
      <w:r w:rsidRPr="00F84D52">
        <w:rPr>
          <w:rFonts w:ascii="Times New Roman" w:hAnsi="Times New Roman"/>
          <w:sz w:val="24"/>
          <w:szCs w:val="24"/>
        </w:rPr>
        <w:t>2019</w:t>
      </w:r>
      <w:r w:rsidRPr="00F84D52">
        <w:rPr>
          <w:rFonts w:ascii="Times New Roman" w:hAnsi="Times New Roman"/>
          <w:sz w:val="24"/>
          <w:szCs w:val="24"/>
        </w:rPr>
        <w:t>年</w:t>
      </w:r>
      <w:r w:rsidRPr="00F84D52">
        <w:rPr>
          <w:rFonts w:ascii="Times New Roman" w:hAnsi="Times New Roman"/>
          <w:sz w:val="24"/>
          <w:szCs w:val="24"/>
        </w:rPr>
        <w:t>12</w:t>
      </w:r>
      <w:r w:rsidRPr="00F84D52">
        <w:rPr>
          <w:rFonts w:ascii="Times New Roman" w:hAnsi="Times New Roman"/>
          <w:sz w:val="24"/>
          <w:szCs w:val="24"/>
        </w:rPr>
        <w:t>月</w:t>
      </w:r>
      <w:r w:rsidRPr="00F84D52">
        <w:rPr>
          <w:rFonts w:ascii="Times New Roman" w:hAnsi="Times New Roman"/>
          <w:sz w:val="24"/>
          <w:szCs w:val="24"/>
        </w:rPr>
        <w:t>31</w:t>
      </w:r>
      <w:r w:rsidRPr="00F84D52">
        <w:rPr>
          <w:rFonts w:ascii="Times New Roman" w:hAnsi="Times New Roman"/>
          <w:sz w:val="24"/>
          <w:szCs w:val="24"/>
        </w:rPr>
        <w:t>日）</w:t>
      </w:r>
    </w:p>
    <w:p w:rsidR="00FC7F43" w:rsidRPr="00B34368" w:rsidRDefault="00B70229" w:rsidP="00FC7F43">
      <w:pPr>
        <w:pStyle w:val="20"/>
        <w:spacing w:line="288" w:lineRule="auto"/>
        <w:ind w:firstLineChars="0" w:firstLine="0"/>
        <w:jc w:val="center"/>
        <w:rPr>
          <w:rFonts w:ascii="Times New Roman" w:eastAsiaTheme="minorEastAsia" w:hAnsi="Times New Roman"/>
          <w:color w:val="000000" w:themeColor="text1"/>
        </w:rPr>
      </w:pPr>
      <w:r w:rsidRPr="00B34368">
        <w:rPr>
          <w:rFonts w:ascii="Times New Roman" w:eastAsiaTheme="minorEastAsia" w:hAnsi="Times New Roman"/>
          <w:noProof/>
          <w:color w:val="000000" w:themeColor="text1"/>
        </w:rPr>
        <w:drawing>
          <wp:inline distT="0" distB="0" distL="0" distR="0">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3C69C1" w:rsidRDefault="008901F2">
      <w:pPr>
        <w:spacing w:line="360" w:lineRule="auto"/>
        <w:ind w:firstLineChars="200" w:firstLine="480"/>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自</w:t>
      </w: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4</w:t>
      </w:r>
      <w:r>
        <w:rPr>
          <w:rFonts w:eastAsiaTheme="minorEastAsia"/>
          <w:color w:val="000000" w:themeColor="text1"/>
          <w:sz w:val="24"/>
        </w:rPr>
        <w:t>月</w:t>
      </w:r>
      <w:r>
        <w:rPr>
          <w:rFonts w:eastAsiaTheme="minorEastAsia"/>
          <w:color w:val="000000" w:themeColor="text1"/>
          <w:sz w:val="24"/>
        </w:rPr>
        <w:t>25</w:t>
      </w:r>
      <w:r>
        <w:rPr>
          <w:rFonts w:eastAsiaTheme="minorEastAsia"/>
          <w:color w:val="000000" w:themeColor="text1"/>
          <w:sz w:val="24"/>
        </w:rPr>
        <w:t>日起，本基金增设</w:t>
      </w:r>
      <w:r>
        <w:rPr>
          <w:rFonts w:eastAsiaTheme="minorEastAsia"/>
          <w:color w:val="000000" w:themeColor="text1"/>
          <w:sz w:val="24"/>
        </w:rPr>
        <w:t>C</w:t>
      </w:r>
      <w:r>
        <w:rPr>
          <w:rFonts w:eastAsiaTheme="minorEastAsia"/>
          <w:color w:val="000000" w:themeColor="text1"/>
          <w:sz w:val="24"/>
        </w:rPr>
        <w:t>类份额类别，份额首次确认日为</w:t>
      </w: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4</w:t>
      </w:r>
      <w:r>
        <w:rPr>
          <w:rFonts w:eastAsiaTheme="minorEastAsia"/>
          <w:color w:val="000000" w:themeColor="text1"/>
          <w:sz w:val="24"/>
        </w:rPr>
        <w:t>月</w:t>
      </w:r>
      <w:r>
        <w:rPr>
          <w:rFonts w:eastAsiaTheme="minorEastAsia"/>
          <w:color w:val="000000" w:themeColor="text1"/>
          <w:sz w:val="24"/>
        </w:rPr>
        <w:t>26</w:t>
      </w:r>
      <w:r>
        <w:rPr>
          <w:rFonts w:eastAsiaTheme="minorEastAsia"/>
          <w:color w:val="000000" w:themeColor="text1"/>
          <w:sz w:val="24"/>
        </w:rPr>
        <w:t>日，增设当期的相关数据和指标按实际存续期计算。</w:t>
      </w:r>
    </w:p>
    <w:p w:rsidR="00973B57" w:rsidRPr="00B34368" w:rsidRDefault="00757FD7"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2.</w:t>
      </w:r>
      <w:r w:rsidRPr="00B34368">
        <w:rPr>
          <w:rFonts w:eastAsiaTheme="minorEastAsia"/>
          <w:color w:val="000000" w:themeColor="text1"/>
          <w:sz w:val="24"/>
        </w:rPr>
        <w:t>自基金合同生效至报告期末，</w:t>
      </w:r>
      <w:r w:rsidRPr="00B34368">
        <w:rPr>
          <w:rFonts w:eastAsiaTheme="minorEastAsia"/>
          <w:color w:val="000000" w:themeColor="text1"/>
          <w:sz w:val="24"/>
        </w:rPr>
        <w:t>A</w:t>
      </w:r>
      <w:r w:rsidRPr="00B34368">
        <w:rPr>
          <w:rFonts w:eastAsiaTheme="minorEastAsia"/>
          <w:color w:val="000000" w:themeColor="text1"/>
          <w:sz w:val="24"/>
        </w:rPr>
        <w:t>类基金份额净值增长率为</w:t>
      </w:r>
      <w:r w:rsidRPr="00B34368">
        <w:rPr>
          <w:rFonts w:eastAsiaTheme="minorEastAsia"/>
          <w:color w:val="000000" w:themeColor="text1"/>
          <w:sz w:val="24"/>
        </w:rPr>
        <w:t>42.41%</w:t>
      </w:r>
      <w:r w:rsidRPr="00B34368">
        <w:rPr>
          <w:rFonts w:eastAsiaTheme="minorEastAsia"/>
          <w:color w:val="000000" w:themeColor="text1"/>
          <w:sz w:val="24"/>
        </w:rPr>
        <w:t>，同期业绩比较基准收益率为</w:t>
      </w:r>
      <w:r w:rsidRPr="00B34368">
        <w:rPr>
          <w:rFonts w:eastAsiaTheme="minorEastAsia"/>
          <w:color w:val="000000" w:themeColor="text1"/>
          <w:sz w:val="24"/>
        </w:rPr>
        <w:t>31.91%</w:t>
      </w:r>
      <w:r w:rsidRPr="00B34368">
        <w:rPr>
          <w:rFonts w:eastAsiaTheme="minorEastAsia"/>
          <w:color w:val="000000" w:themeColor="text1"/>
          <w:sz w:val="24"/>
        </w:rPr>
        <w:t>。</w:t>
      </w:r>
      <w:r w:rsidRPr="00B34368">
        <w:rPr>
          <w:rFonts w:eastAsiaTheme="minorEastAsia"/>
          <w:color w:val="000000" w:themeColor="text1"/>
          <w:sz w:val="24"/>
        </w:rPr>
        <w:t>C</w:t>
      </w:r>
      <w:r w:rsidRPr="00B34368">
        <w:rPr>
          <w:rFonts w:eastAsiaTheme="minorEastAsia"/>
          <w:color w:val="000000" w:themeColor="text1"/>
          <w:sz w:val="24"/>
        </w:rPr>
        <w:t>类基金份额净值增长率为</w:t>
      </w:r>
      <w:r w:rsidRPr="00B34368">
        <w:rPr>
          <w:rFonts w:eastAsiaTheme="minorEastAsia"/>
          <w:color w:val="000000" w:themeColor="text1"/>
          <w:sz w:val="24"/>
        </w:rPr>
        <w:t>5.57%</w:t>
      </w:r>
      <w:r w:rsidRPr="00B34368">
        <w:rPr>
          <w:rFonts w:eastAsiaTheme="minorEastAsia"/>
          <w:color w:val="000000" w:themeColor="text1"/>
          <w:sz w:val="24"/>
        </w:rPr>
        <w:t>，同期业绩比较基准收益率为</w:t>
      </w:r>
      <w:r w:rsidRPr="00B34368">
        <w:rPr>
          <w:rFonts w:eastAsiaTheme="minorEastAsia"/>
          <w:color w:val="000000" w:themeColor="text1"/>
          <w:sz w:val="24"/>
        </w:rPr>
        <w:t>3.79%</w:t>
      </w:r>
      <w:r w:rsidRPr="00B34368">
        <w:rPr>
          <w:rFonts w:eastAsiaTheme="minorEastAsia"/>
          <w:color w:val="000000" w:themeColor="text1"/>
          <w:sz w:val="24"/>
        </w:rPr>
        <w:t>。</w:t>
      </w:r>
      <w:r w:rsidRPr="00B34368">
        <w:rPr>
          <w:rFonts w:eastAsiaTheme="minorEastAsia"/>
          <w:color w:val="000000" w:themeColor="text1"/>
          <w:sz w:val="24"/>
        </w:rPr>
        <w:t xml:space="preserve"> </w:t>
      </w:r>
    </w:p>
    <w:p w:rsidR="00E561F9" w:rsidRPr="00B34368" w:rsidRDefault="00E561F9" w:rsidP="00E561F9">
      <w:pPr>
        <w:tabs>
          <w:tab w:val="left" w:pos="1800"/>
        </w:tabs>
        <w:spacing w:line="288" w:lineRule="auto"/>
        <w:rPr>
          <w:rFonts w:eastAsiaTheme="minorEastAsia"/>
          <w:color w:val="000000" w:themeColor="text1"/>
          <w:sz w:val="24"/>
        </w:rPr>
      </w:pPr>
    </w:p>
    <w:p w:rsidR="009238DB" w:rsidRPr="00B34368" w:rsidRDefault="009238DB" w:rsidP="00C544B8">
      <w:pPr>
        <w:pStyle w:val="1"/>
        <w:spacing w:beforeLines="100" w:before="312" w:afterLines="100" w:after="312" w:line="360" w:lineRule="auto"/>
        <w:jc w:val="center"/>
        <w:rPr>
          <w:rFonts w:eastAsiaTheme="minorEastAsia"/>
          <w:color w:val="000000" w:themeColor="text1"/>
          <w:kern w:val="0"/>
          <w:sz w:val="24"/>
          <w:szCs w:val="24"/>
        </w:rPr>
      </w:pPr>
      <w:r w:rsidRPr="00B34368">
        <w:rPr>
          <w:rFonts w:eastAsiaTheme="minorEastAsia"/>
          <w:color w:val="000000" w:themeColor="text1"/>
          <w:kern w:val="0"/>
          <w:sz w:val="24"/>
          <w:szCs w:val="24"/>
        </w:rPr>
        <w:t xml:space="preserve">§4  </w:t>
      </w:r>
      <w:r w:rsidRPr="00B34368">
        <w:rPr>
          <w:rFonts w:eastAsiaTheme="minorEastAsia" w:hAnsiTheme="minorEastAsia"/>
          <w:color w:val="000000" w:themeColor="text1"/>
          <w:kern w:val="0"/>
          <w:sz w:val="24"/>
          <w:szCs w:val="24"/>
        </w:rPr>
        <w:t>管理人报告</w:t>
      </w:r>
    </w:p>
    <w:p w:rsidR="00C544B8" w:rsidRDefault="009238DB" w:rsidP="00C544B8">
      <w:pPr>
        <w:autoSpaceDE w:val="0"/>
        <w:autoSpaceDN w:val="0"/>
        <w:adjustRightInd w:val="0"/>
        <w:spacing w:line="360" w:lineRule="auto"/>
        <w:jc w:val="left"/>
        <w:rPr>
          <w:rFonts w:ascii="宋体" w:cs="Arial"/>
          <w:b/>
          <w:color w:val="000000"/>
          <w:kern w:val="0"/>
          <w:sz w:val="24"/>
        </w:rPr>
      </w:pPr>
      <w:r w:rsidRPr="00B34368">
        <w:rPr>
          <w:rFonts w:eastAsiaTheme="minorEastAsia"/>
          <w:b/>
          <w:color w:val="000000" w:themeColor="text1"/>
          <w:kern w:val="0"/>
          <w:sz w:val="24"/>
        </w:rPr>
        <w:t xml:space="preserve">4.1 </w:t>
      </w:r>
      <w:r w:rsidRPr="00B34368">
        <w:rPr>
          <w:rFonts w:eastAsiaTheme="minorEastAsia" w:hAnsiTheme="minorEastAsia"/>
          <w:b/>
          <w:color w:val="000000" w:themeColor="text1"/>
          <w:kern w:val="0"/>
          <w:sz w:val="24"/>
        </w:rPr>
        <w:t>基金经理（或基金经理小组）简介</w:t>
      </w: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2832"/>
        <w:gridCol w:w="851"/>
        <w:gridCol w:w="850"/>
        <w:gridCol w:w="851"/>
        <w:gridCol w:w="2975"/>
      </w:tblGrid>
      <w:tr w:rsidR="00C544B8" w:rsidTr="00C544B8">
        <w:trPr>
          <w:cantSplit/>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C544B8" w:rsidRDefault="00C544B8">
            <w:pPr>
              <w:autoSpaceDE w:val="0"/>
              <w:autoSpaceDN w:val="0"/>
              <w:adjustRightInd w:val="0"/>
              <w:spacing w:before="29" w:line="288" w:lineRule="auto"/>
              <w:ind w:left="15"/>
              <w:jc w:val="center"/>
              <w:rPr>
                <w:color w:val="000000"/>
                <w:kern w:val="0"/>
                <w:sz w:val="24"/>
              </w:rPr>
            </w:pPr>
            <w:r>
              <w:rPr>
                <w:rFonts w:hint="eastAsia"/>
                <w:color w:val="000000"/>
                <w:kern w:val="0"/>
                <w:sz w:val="24"/>
              </w:rPr>
              <w:t>姓名</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C544B8" w:rsidRDefault="00C544B8">
            <w:pPr>
              <w:autoSpaceDE w:val="0"/>
              <w:autoSpaceDN w:val="0"/>
              <w:adjustRightInd w:val="0"/>
              <w:spacing w:before="29" w:line="288" w:lineRule="auto"/>
              <w:ind w:left="15"/>
              <w:jc w:val="center"/>
              <w:rPr>
                <w:color w:val="000000"/>
                <w:kern w:val="0"/>
                <w:sz w:val="24"/>
              </w:rPr>
            </w:pPr>
            <w:r>
              <w:rPr>
                <w:rFonts w:hint="eastAsia"/>
                <w:color w:val="000000"/>
                <w:kern w:val="0"/>
                <w:sz w:val="24"/>
              </w:rPr>
              <w:t>职务</w:t>
            </w:r>
          </w:p>
        </w:tc>
        <w:tc>
          <w:tcPr>
            <w:tcW w:w="1701" w:type="dxa"/>
            <w:gridSpan w:val="2"/>
            <w:tcBorders>
              <w:top w:val="single" w:sz="4" w:space="0" w:color="auto"/>
              <w:left w:val="single" w:sz="4" w:space="0" w:color="auto"/>
              <w:bottom w:val="single" w:sz="4" w:space="0" w:color="auto"/>
              <w:right w:val="single" w:sz="4" w:space="0" w:color="auto"/>
            </w:tcBorders>
            <w:hideMark/>
          </w:tcPr>
          <w:p w:rsidR="00C544B8" w:rsidRDefault="00C544B8">
            <w:pPr>
              <w:autoSpaceDE w:val="0"/>
              <w:autoSpaceDN w:val="0"/>
              <w:adjustRightInd w:val="0"/>
              <w:spacing w:before="29" w:line="288" w:lineRule="auto"/>
              <w:ind w:left="15"/>
              <w:jc w:val="center"/>
              <w:rPr>
                <w:color w:val="000000"/>
                <w:kern w:val="0"/>
                <w:sz w:val="24"/>
              </w:rPr>
            </w:pPr>
            <w:r>
              <w:rPr>
                <w:rFonts w:hint="eastAsia"/>
                <w:color w:val="000000"/>
                <w:kern w:val="0"/>
                <w:sz w:val="24"/>
              </w:rPr>
              <w:t>任本基金的基金经理期限</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C544B8" w:rsidRDefault="00C544B8">
            <w:pPr>
              <w:autoSpaceDE w:val="0"/>
              <w:autoSpaceDN w:val="0"/>
              <w:adjustRightInd w:val="0"/>
              <w:spacing w:before="29" w:line="288" w:lineRule="auto"/>
              <w:ind w:left="15"/>
              <w:jc w:val="center"/>
              <w:rPr>
                <w:color w:val="000000"/>
                <w:kern w:val="0"/>
                <w:sz w:val="24"/>
              </w:rPr>
            </w:pPr>
            <w:r>
              <w:rPr>
                <w:rFonts w:hint="eastAsia"/>
                <w:color w:val="000000"/>
                <w:kern w:val="0"/>
                <w:sz w:val="24"/>
              </w:rPr>
              <w:t>证券从业年限</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C544B8" w:rsidRDefault="00C544B8">
            <w:pPr>
              <w:autoSpaceDE w:val="0"/>
              <w:autoSpaceDN w:val="0"/>
              <w:adjustRightInd w:val="0"/>
              <w:spacing w:before="29" w:line="288" w:lineRule="auto"/>
              <w:ind w:left="15"/>
              <w:jc w:val="center"/>
              <w:rPr>
                <w:color w:val="000000"/>
                <w:kern w:val="0"/>
                <w:sz w:val="24"/>
              </w:rPr>
            </w:pPr>
            <w:r>
              <w:rPr>
                <w:rFonts w:hint="eastAsia"/>
                <w:color w:val="000000"/>
                <w:kern w:val="0"/>
                <w:sz w:val="24"/>
              </w:rPr>
              <w:t>说明</w:t>
            </w:r>
          </w:p>
        </w:tc>
      </w:tr>
      <w:tr w:rsidR="00C544B8" w:rsidTr="00C544B8">
        <w:trPr>
          <w:cantSplit/>
        </w:trPr>
        <w:tc>
          <w:tcPr>
            <w:tcW w:w="8931" w:type="dxa"/>
            <w:vMerge/>
            <w:tcBorders>
              <w:top w:val="single" w:sz="4" w:space="0" w:color="auto"/>
              <w:left w:val="single" w:sz="4" w:space="0" w:color="auto"/>
              <w:bottom w:val="single" w:sz="4" w:space="0" w:color="auto"/>
              <w:right w:val="single" w:sz="4" w:space="0" w:color="auto"/>
            </w:tcBorders>
            <w:vAlign w:val="center"/>
            <w:hideMark/>
          </w:tcPr>
          <w:p w:rsidR="00C544B8" w:rsidRDefault="00C544B8">
            <w:pPr>
              <w:widowControl/>
              <w:jc w:val="left"/>
              <w:rPr>
                <w:color w:val="000000"/>
                <w:kern w:val="0"/>
                <w:sz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C544B8" w:rsidRDefault="00C544B8">
            <w:pPr>
              <w:widowControl/>
              <w:jc w:val="left"/>
              <w:rPr>
                <w:color w:val="000000"/>
                <w:kern w:val="0"/>
                <w:sz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C544B8" w:rsidRDefault="00C544B8">
            <w:pPr>
              <w:autoSpaceDE w:val="0"/>
              <w:autoSpaceDN w:val="0"/>
              <w:adjustRightInd w:val="0"/>
              <w:spacing w:before="29" w:line="288" w:lineRule="auto"/>
              <w:ind w:left="15"/>
              <w:jc w:val="center"/>
              <w:rPr>
                <w:color w:val="000000"/>
                <w:kern w:val="0"/>
                <w:sz w:val="24"/>
              </w:rPr>
            </w:pPr>
            <w:r>
              <w:rPr>
                <w:rFonts w:hint="eastAsia"/>
                <w:color w:val="000000"/>
                <w:kern w:val="0"/>
                <w:sz w:val="24"/>
              </w:rPr>
              <w:t>任职日期</w:t>
            </w:r>
          </w:p>
        </w:tc>
        <w:tc>
          <w:tcPr>
            <w:tcW w:w="850" w:type="dxa"/>
            <w:tcBorders>
              <w:top w:val="single" w:sz="4" w:space="0" w:color="auto"/>
              <w:left w:val="single" w:sz="4" w:space="0" w:color="auto"/>
              <w:bottom w:val="single" w:sz="4" w:space="0" w:color="auto"/>
              <w:right w:val="single" w:sz="4" w:space="0" w:color="auto"/>
            </w:tcBorders>
            <w:vAlign w:val="center"/>
            <w:hideMark/>
          </w:tcPr>
          <w:p w:rsidR="00C544B8" w:rsidRDefault="00C544B8">
            <w:pPr>
              <w:autoSpaceDE w:val="0"/>
              <w:autoSpaceDN w:val="0"/>
              <w:adjustRightInd w:val="0"/>
              <w:spacing w:before="29" w:line="288" w:lineRule="auto"/>
              <w:ind w:left="15"/>
              <w:jc w:val="center"/>
              <w:rPr>
                <w:color w:val="000000"/>
                <w:kern w:val="0"/>
                <w:sz w:val="24"/>
              </w:rPr>
            </w:pPr>
            <w:r>
              <w:rPr>
                <w:rFonts w:hint="eastAsia"/>
                <w:color w:val="000000"/>
                <w:kern w:val="0"/>
                <w:sz w:val="24"/>
              </w:rPr>
              <w:t>离任日期</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544B8" w:rsidRDefault="00C544B8">
            <w:pPr>
              <w:widowControl/>
              <w:jc w:val="left"/>
              <w:rPr>
                <w:color w:val="000000"/>
                <w:kern w:val="0"/>
                <w:sz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544B8" w:rsidRDefault="00C544B8">
            <w:pPr>
              <w:widowControl/>
              <w:jc w:val="left"/>
              <w:rPr>
                <w:color w:val="000000"/>
                <w:kern w:val="0"/>
                <w:sz w:val="24"/>
              </w:rPr>
            </w:pPr>
          </w:p>
        </w:tc>
      </w:tr>
      <w:tr w:rsidR="003C69C1">
        <w:tc>
          <w:tcPr>
            <w:tcW w:w="0" w:type="auto"/>
            <w:vAlign w:val="center"/>
          </w:tcPr>
          <w:p w:rsidR="003C69C1" w:rsidRDefault="008901F2">
            <w:pPr>
              <w:jc w:val="center"/>
            </w:pPr>
            <w:r>
              <w:rPr>
                <w:color w:val="000000"/>
                <w:sz w:val="24"/>
              </w:rPr>
              <w:t>余海燕</w:t>
            </w:r>
          </w:p>
        </w:tc>
        <w:tc>
          <w:tcPr>
            <w:tcW w:w="0" w:type="auto"/>
            <w:vAlign w:val="center"/>
          </w:tcPr>
          <w:p w:rsidR="003C69C1" w:rsidRDefault="008901F2">
            <w:pPr>
              <w:jc w:val="center"/>
            </w:pPr>
            <w:r>
              <w:rPr>
                <w:color w:val="000000"/>
                <w:sz w:val="24"/>
              </w:rPr>
              <w:t>本基金的基金经理、易方达中证全指证券公司交易型开放式指数证券投资基金的基金经理、易方达中证军工交易型开放式指数证券投资基金的基金经理、易方达中证海外中国互联网</w:t>
            </w:r>
            <w:r>
              <w:rPr>
                <w:color w:val="000000"/>
                <w:sz w:val="24"/>
              </w:rPr>
              <w:t>50</w:t>
            </w:r>
            <w:r>
              <w:rPr>
                <w:color w:val="000000"/>
                <w:sz w:val="24"/>
              </w:rPr>
              <w:t>交易型开放式指数证券投资基金联接基金的基金经理、易方达中证海外中国互联网</w:t>
            </w:r>
            <w:r>
              <w:rPr>
                <w:color w:val="000000"/>
                <w:sz w:val="24"/>
              </w:rPr>
              <w:t>50</w:t>
            </w:r>
            <w:r>
              <w:rPr>
                <w:color w:val="000000"/>
                <w:sz w:val="24"/>
              </w:rPr>
              <w:t>交易型开放式指数证券投资基金的基金经理、易方达中证</w:t>
            </w:r>
            <w:r>
              <w:rPr>
                <w:color w:val="000000"/>
                <w:sz w:val="24"/>
              </w:rPr>
              <w:t>500</w:t>
            </w:r>
            <w:r>
              <w:rPr>
                <w:color w:val="000000"/>
                <w:sz w:val="24"/>
              </w:rPr>
              <w:t>交易型开放式指数证券投资基金发起式联接基金的基金经理、易方达中证</w:t>
            </w:r>
            <w:r>
              <w:rPr>
                <w:color w:val="000000"/>
                <w:sz w:val="24"/>
              </w:rPr>
              <w:t>500</w:t>
            </w:r>
            <w:r>
              <w:rPr>
                <w:color w:val="000000"/>
                <w:sz w:val="24"/>
              </w:rPr>
              <w:t>交易型开放式指数证券投资基金的基金经理、易方达证券公司指数分级证券投资基金的基金经理、易方达上证</w:t>
            </w:r>
            <w:r>
              <w:rPr>
                <w:color w:val="000000"/>
                <w:sz w:val="24"/>
              </w:rPr>
              <w:t>50</w:t>
            </w:r>
            <w:r>
              <w:rPr>
                <w:color w:val="000000"/>
                <w:sz w:val="24"/>
              </w:rPr>
              <w:t>指数分级证券投资基金的基金经理、易方达上证</w:t>
            </w:r>
            <w:r>
              <w:rPr>
                <w:color w:val="000000"/>
                <w:sz w:val="24"/>
              </w:rPr>
              <w:t>50</w:t>
            </w:r>
            <w:r>
              <w:rPr>
                <w:color w:val="000000"/>
                <w:sz w:val="24"/>
              </w:rPr>
              <w:t>交</w:t>
            </w:r>
            <w:r>
              <w:rPr>
                <w:color w:val="000000"/>
                <w:sz w:val="24"/>
              </w:rPr>
              <w:t>易型开放式指数证券投资基金发起式联接基金的基金经理、易方达上证</w:t>
            </w:r>
            <w:r>
              <w:rPr>
                <w:color w:val="000000"/>
                <w:sz w:val="24"/>
              </w:rPr>
              <w:t>50</w:t>
            </w:r>
            <w:r>
              <w:rPr>
                <w:color w:val="000000"/>
                <w:sz w:val="24"/>
              </w:rPr>
              <w:t>交易型开放式指数证券投资基金的基金经理、易方达日兴资管日经</w:t>
            </w:r>
            <w:r>
              <w:rPr>
                <w:color w:val="000000"/>
                <w:sz w:val="24"/>
              </w:rPr>
              <w:t>225</w:t>
            </w:r>
            <w:r>
              <w:rPr>
                <w:color w:val="000000"/>
                <w:sz w:val="24"/>
              </w:rPr>
              <w:t>交易型开放式指数证券投资基金（</w:t>
            </w:r>
            <w:r>
              <w:rPr>
                <w:color w:val="000000"/>
                <w:sz w:val="24"/>
              </w:rPr>
              <w:t>QDII</w:t>
            </w:r>
            <w:r>
              <w:rPr>
                <w:color w:val="000000"/>
                <w:sz w:val="24"/>
              </w:rPr>
              <w:t>）的基金经理、易方达军工指数分级证券投资基金的基金经理、易方达黄金交易型开放式证券投资基金联接基金的基金经理、易方达黄金交易型开放式证券投资基金的基金经理、易方达沪深</w:t>
            </w:r>
            <w:r>
              <w:rPr>
                <w:color w:val="000000"/>
                <w:sz w:val="24"/>
              </w:rPr>
              <w:t>300</w:t>
            </w:r>
            <w:r>
              <w:rPr>
                <w:color w:val="000000"/>
                <w:sz w:val="24"/>
              </w:rPr>
              <w:t>医药卫生交易型开放式指数证券投资基金联接基金的基金经理、易方达沪深</w:t>
            </w:r>
            <w:r>
              <w:rPr>
                <w:color w:val="000000"/>
                <w:sz w:val="24"/>
              </w:rPr>
              <w:t>300</w:t>
            </w:r>
            <w:r>
              <w:rPr>
                <w:color w:val="000000"/>
                <w:sz w:val="24"/>
              </w:rPr>
              <w:t>医药卫生交易型开放式指数证券投资基金的基金经理、易方达沪深</w:t>
            </w:r>
            <w:r>
              <w:rPr>
                <w:color w:val="000000"/>
                <w:sz w:val="24"/>
              </w:rPr>
              <w:t>300</w:t>
            </w:r>
            <w:r>
              <w:rPr>
                <w:color w:val="000000"/>
                <w:sz w:val="24"/>
              </w:rPr>
              <w:t>交易型开放式指数发起式证券投资基金的</w:t>
            </w:r>
            <w:r>
              <w:rPr>
                <w:color w:val="000000"/>
                <w:sz w:val="24"/>
              </w:rPr>
              <w:t>基金经理、易方达沪深</w:t>
            </w:r>
            <w:r>
              <w:rPr>
                <w:color w:val="000000"/>
                <w:sz w:val="24"/>
              </w:rPr>
              <w:t>300</w:t>
            </w:r>
            <w:r>
              <w:rPr>
                <w:color w:val="000000"/>
                <w:sz w:val="24"/>
              </w:rPr>
              <w:t>非银行金融交易型开放式指数证券投资基金联接基金的基金经理、易方达沪深</w:t>
            </w:r>
            <w:r>
              <w:rPr>
                <w:color w:val="000000"/>
                <w:sz w:val="24"/>
              </w:rPr>
              <w:t>300</w:t>
            </w:r>
            <w:r>
              <w:rPr>
                <w:color w:val="000000"/>
                <w:sz w:val="24"/>
              </w:rPr>
              <w:t>非银行金融交易型开放式指数证券投资基金的基金经理、易方达恒生中国企业交易型开放式指数证券投资基金联接基金的基金经理、易方达恒生中国企业交易型开放式指数证券投资基金的基金经理、易方达国企改革指数分级证券投资基金的基金经理</w:t>
            </w:r>
          </w:p>
        </w:tc>
        <w:tc>
          <w:tcPr>
            <w:tcW w:w="0" w:type="auto"/>
            <w:vAlign w:val="center"/>
          </w:tcPr>
          <w:p w:rsidR="003C69C1" w:rsidRDefault="008901F2">
            <w:pPr>
              <w:jc w:val="center"/>
            </w:pPr>
            <w:r>
              <w:rPr>
                <w:color w:val="000000"/>
                <w:sz w:val="24"/>
              </w:rPr>
              <w:t>2016-04-16</w:t>
            </w:r>
          </w:p>
        </w:tc>
        <w:tc>
          <w:tcPr>
            <w:tcW w:w="0" w:type="auto"/>
            <w:vAlign w:val="center"/>
          </w:tcPr>
          <w:p w:rsidR="003C69C1" w:rsidRDefault="008901F2">
            <w:pPr>
              <w:jc w:val="center"/>
            </w:pPr>
            <w:r>
              <w:rPr>
                <w:color w:val="000000"/>
                <w:sz w:val="24"/>
              </w:rPr>
              <w:t>-</w:t>
            </w:r>
          </w:p>
        </w:tc>
        <w:tc>
          <w:tcPr>
            <w:tcW w:w="0" w:type="auto"/>
            <w:vAlign w:val="center"/>
          </w:tcPr>
          <w:p w:rsidR="003C69C1" w:rsidRDefault="008901F2">
            <w:pPr>
              <w:jc w:val="center"/>
            </w:pPr>
            <w:r>
              <w:rPr>
                <w:color w:val="000000"/>
                <w:sz w:val="24"/>
              </w:rPr>
              <w:t>14</w:t>
            </w:r>
            <w:r>
              <w:rPr>
                <w:color w:val="000000"/>
                <w:sz w:val="24"/>
              </w:rPr>
              <w:t>年</w:t>
            </w:r>
          </w:p>
        </w:tc>
        <w:tc>
          <w:tcPr>
            <w:tcW w:w="0" w:type="auto"/>
            <w:vAlign w:val="center"/>
          </w:tcPr>
          <w:p w:rsidR="003C69C1" w:rsidRDefault="008901F2">
            <w:r>
              <w:rPr>
                <w:color w:val="000000"/>
                <w:sz w:val="24"/>
              </w:rPr>
              <w:t>硕士研究生，具有基金从业资格。曾任汇丰银行</w:t>
            </w:r>
            <w:r>
              <w:rPr>
                <w:color w:val="000000"/>
                <w:sz w:val="24"/>
              </w:rPr>
              <w:t>Consumer Credit Risk</w:t>
            </w:r>
            <w:r>
              <w:rPr>
                <w:color w:val="000000"/>
                <w:sz w:val="24"/>
              </w:rPr>
              <w:t>信用风险分析师，华宝兴业基金管理有限公司分析师、基金经理助理、基金经理，易方</w:t>
            </w:r>
            <w:r>
              <w:rPr>
                <w:color w:val="000000"/>
                <w:sz w:val="24"/>
              </w:rPr>
              <w:t>达基金管理有限公司投资发展部产品经理。</w:t>
            </w:r>
          </w:p>
        </w:tc>
      </w:tr>
      <w:tr w:rsidR="003C69C1">
        <w:tc>
          <w:tcPr>
            <w:tcW w:w="0" w:type="auto"/>
            <w:vAlign w:val="center"/>
          </w:tcPr>
          <w:p w:rsidR="003C69C1" w:rsidRDefault="008901F2">
            <w:pPr>
              <w:jc w:val="center"/>
            </w:pPr>
            <w:r>
              <w:rPr>
                <w:color w:val="000000"/>
                <w:sz w:val="24"/>
              </w:rPr>
              <w:t>杨俊</w:t>
            </w:r>
          </w:p>
        </w:tc>
        <w:tc>
          <w:tcPr>
            <w:tcW w:w="0" w:type="auto"/>
            <w:vAlign w:val="center"/>
          </w:tcPr>
          <w:p w:rsidR="003C69C1" w:rsidRDefault="008901F2">
            <w:pPr>
              <w:jc w:val="center"/>
            </w:pPr>
            <w:r>
              <w:rPr>
                <w:color w:val="000000"/>
                <w:sz w:val="24"/>
              </w:rPr>
              <w:t>本基金的基金经理、易方达中证国企一带一路交易型开放式指数证券投资基金的基金经理、易方达中证</w:t>
            </w:r>
            <w:r>
              <w:rPr>
                <w:color w:val="000000"/>
                <w:sz w:val="24"/>
              </w:rPr>
              <w:t>500</w:t>
            </w:r>
            <w:r>
              <w:rPr>
                <w:color w:val="000000"/>
                <w:sz w:val="24"/>
              </w:rPr>
              <w:t>交易型开放式指数证券投资基金发起式联接基金的基金经理、易方达中证</w:t>
            </w:r>
            <w:r>
              <w:rPr>
                <w:color w:val="000000"/>
                <w:sz w:val="24"/>
              </w:rPr>
              <w:t>500</w:t>
            </w:r>
            <w:r>
              <w:rPr>
                <w:color w:val="000000"/>
                <w:sz w:val="24"/>
              </w:rPr>
              <w:t>交易型开放式指数证券投资基金的基金经理、易方达沪深</w:t>
            </w:r>
            <w:r>
              <w:rPr>
                <w:color w:val="000000"/>
                <w:sz w:val="24"/>
              </w:rPr>
              <w:t>300</w:t>
            </w:r>
            <w:r>
              <w:rPr>
                <w:color w:val="000000"/>
                <w:sz w:val="24"/>
              </w:rPr>
              <w:t>交易型开放式指数发起式证券投资基金的基金经理、易方达国企改革指数分级证券投资基金的基金经理、解决方案部总经理助理</w:t>
            </w:r>
          </w:p>
        </w:tc>
        <w:tc>
          <w:tcPr>
            <w:tcW w:w="0" w:type="auto"/>
            <w:vAlign w:val="center"/>
          </w:tcPr>
          <w:p w:rsidR="003C69C1" w:rsidRDefault="008901F2">
            <w:pPr>
              <w:jc w:val="center"/>
            </w:pPr>
            <w:r>
              <w:rPr>
                <w:color w:val="000000"/>
                <w:sz w:val="24"/>
              </w:rPr>
              <w:t>2017-06-23</w:t>
            </w:r>
          </w:p>
        </w:tc>
        <w:tc>
          <w:tcPr>
            <w:tcW w:w="0" w:type="auto"/>
            <w:vAlign w:val="center"/>
          </w:tcPr>
          <w:p w:rsidR="003C69C1" w:rsidRDefault="008901F2">
            <w:pPr>
              <w:jc w:val="center"/>
            </w:pPr>
            <w:r>
              <w:rPr>
                <w:color w:val="000000"/>
                <w:sz w:val="24"/>
              </w:rPr>
              <w:t>-</w:t>
            </w:r>
          </w:p>
        </w:tc>
        <w:tc>
          <w:tcPr>
            <w:tcW w:w="0" w:type="auto"/>
            <w:vAlign w:val="center"/>
          </w:tcPr>
          <w:p w:rsidR="003C69C1" w:rsidRDefault="008901F2">
            <w:pPr>
              <w:jc w:val="center"/>
            </w:pPr>
            <w:r>
              <w:rPr>
                <w:color w:val="000000"/>
                <w:sz w:val="24"/>
              </w:rPr>
              <w:t>10</w:t>
            </w:r>
            <w:r>
              <w:rPr>
                <w:color w:val="000000"/>
                <w:sz w:val="24"/>
              </w:rPr>
              <w:t>年</w:t>
            </w:r>
          </w:p>
        </w:tc>
        <w:tc>
          <w:tcPr>
            <w:tcW w:w="0" w:type="auto"/>
            <w:vAlign w:val="center"/>
          </w:tcPr>
          <w:p w:rsidR="003C69C1" w:rsidRDefault="008901F2">
            <w:r>
              <w:rPr>
                <w:color w:val="000000"/>
                <w:sz w:val="24"/>
              </w:rPr>
              <w:t>硕士研究生，具有基金从业资格。曾任易方达基金管理有限公司北京分公司渠道经理、指数与量化投资部高级账户经理。</w:t>
            </w:r>
          </w:p>
        </w:tc>
      </w:tr>
    </w:tbl>
    <w:p w:rsidR="003C69C1" w:rsidRDefault="008901F2">
      <w:pPr>
        <w:autoSpaceDE w:val="0"/>
        <w:autoSpaceDN w:val="0"/>
        <w:adjustRightInd w:val="0"/>
        <w:spacing w:line="360" w:lineRule="auto"/>
        <w:ind w:firstLineChars="200" w:firstLine="480"/>
        <w:jc w:val="left"/>
        <w:rPr>
          <w:rFonts w:eastAsiaTheme="minorEastAsia"/>
          <w:color w:val="000000" w:themeColor="text1"/>
          <w:sz w:val="24"/>
        </w:rPr>
      </w:pPr>
      <w:r>
        <w:rPr>
          <w:color w:val="000000"/>
          <w:sz w:val="24"/>
        </w:rPr>
        <w:t>注：</w:t>
      </w:r>
      <w:r>
        <w:rPr>
          <w:color w:val="000000"/>
          <w:sz w:val="24"/>
        </w:rPr>
        <w:t>1.</w:t>
      </w:r>
      <w:r>
        <w:rPr>
          <w:color w:val="000000"/>
          <w:sz w:val="24"/>
        </w:rPr>
        <w:t>对基金的首任基金经理，其</w:t>
      </w:r>
      <w:r>
        <w:rPr>
          <w:color w:val="000000"/>
          <w:sz w:val="24"/>
        </w:rPr>
        <w:t>“</w:t>
      </w:r>
      <w:r>
        <w:rPr>
          <w:color w:val="000000"/>
          <w:sz w:val="24"/>
        </w:rPr>
        <w:t>任职日期</w:t>
      </w:r>
      <w:r>
        <w:rPr>
          <w:color w:val="000000"/>
          <w:sz w:val="24"/>
        </w:rPr>
        <w:t>”</w:t>
      </w:r>
      <w:r>
        <w:rPr>
          <w:color w:val="000000"/>
          <w:sz w:val="24"/>
        </w:rPr>
        <w:t>为基金合同生效日，</w:t>
      </w:r>
      <w:r>
        <w:rPr>
          <w:color w:val="000000"/>
          <w:sz w:val="24"/>
        </w:rPr>
        <w:t>“</w:t>
      </w:r>
      <w:r>
        <w:rPr>
          <w:color w:val="000000"/>
          <w:sz w:val="24"/>
        </w:rPr>
        <w:t>离任日期</w:t>
      </w:r>
      <w:r>
        <w:rPr>
          <w:color w:val="000000"/>
          <w:sz w:val="24"/>
        </w:rPr>
        <w:t>”</w:t>
      </w:r>
      <w:r>
        <w:rPr>
          <w:color w:val="000000"/>
          <w:sz w:val="24"/>
        </w:rPr>
        <w:t>为根据公司决定确定的解聘日期；对此后的非首任基金经理，</w:t>
      </w:r>
      <w:r>
        <w:rPr>
          <w:color w:val="000000"/>
          <w:sz w:val="24"/>
        </w:rPr>
        <w:t>“</w:t>
      </w:r>
      <w:r>
        <w:rPr>
          <w:color w:val="000000"/>
          <w:sz w:val="24"/>
        </w:rPr>
        <w:t>任职日期</w:t>
      </w:r>
      <w:r>
        <w:rPr>
          <w:color w:val="000000"/>
          <w:sz w:val="24"/>
        </w:rPr>
        <w:t>”</w:t>
      </w:r>
      <w:r>
        <w:rPr>
          <w:color w:val="000000"/>
          <w:sz w:val="24"/>
        </w:rPr>
        <w:t>和</w:t>
      </w:r>
      <w:r>
        <w:rPr>
          <w:color w:val="000000"/>
          <w:sz w:val="24"/>
        </w:rPr>
        <w:t>“</w:t>
      </w:r>
      <w:r>
        <w:rPr>
          <w:color w:val="000000"/>
          <w:sz w:val="24"/>
        </w:rPr>
        <w:t>离任日期</w:t>
      </w:r>
      <w:r>
        <w:rPr>
          <w:color w:val="000000"/>
          <w:sz w:val="24"/>
        </w:rPr>
        <w:t>”</w:t>
      </w:r>
      <w:r>
        <w:rPr>
          <w:color w:val="000000"/>
          <w:sz w:val="24"/>
        </w:rPr>
        <w:t>分别指根据公司决定确定的聘任日期和解聘日期。</w:t>
      </w:r>
    </w:p>
    <w:p w:rsidR="005C7D00" w:rsidRPr="00B34368" w:rsidRDefault="00C544B8" w:rsidP="00547A9A">
      <w:pPr>
        <w:autoSpaceDE w:val="0"/>
        <w:autoSpaceDN w:val="0"/>
        <w:adjustRightInd w:val="0"/>
        <w:spacing w:line="360" w:lineRule="auto"/>
        <w:ind w:firstLineChars="200" w:firstLine="480"/>
        <w:jc w:val="left"/>
        <w:rPr>
          <w:rFonts w:eastAsiaTheme="minorEastAsia"/>
          <w:color w:val="000000" w:themeColor="text1"/>
          <w:sz w:val="24"/>
        </w:rPr>
      </w:pPr>
      <w:r>
        <w:rPr>
          <w:color w:val="000000"/>
          <w:sz w:val="24"/>
        </w:rPr>
        <w:t>2.</w:t>
      </w:r>
      <w:r>
        <w:rPr>
          <w:color w:val="000000"/>
          <w:sz w:val="24"/>
        </w:rPr>
        <w:t>证券从业的含义遵从《证券业从业人员资格管理办法》的相关规定。</w:t>
      </w:r>
    </w:p>
    <w:p w:rsidR="009238DB" w:rsidRPr="00B34368" w:rsidRDefault="009238DB"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4.2</w:t>
      </w:r>
      <w:r w:rsidR="00B34368" w:rsidRPr="00B34368">
        <w:rPr>
          <w:rFonts w:eastAsiaTheme="minorEastAsia" w:hAnsiTheme="minorEastAsia"/>
          <w:b/>
          <w:color w:val="000000" w:themeColor="text1"/>
          <w:kern w:val="0"/>
          <w:sz w:val="24"/>
        </w:rPr>
        <w:t>管理人对</w:t>
      </w:r>
      <w:r w:rsidRPr="00B34368">
        <w:rPr>
          <w:rFonts w:eastAsiaTheme="minorEastAsia" w:hAnsiTheme="minorEastAsia"/>
          <w:b/>
          <w:color w:val="000000" w:themeColor="text1"/>
          <w:kern w:val="0"/>
          <w:sz w:val="24"/>
        </w:rPr>
        <w:t>报告期内本基金运作遵规守信情况</w:t>
      </w:r>
      <w:r w:rsidR="002F7889" w:rsidRPr="002F7889">
        <w:rPr>
          <w:rFonts w:eastAsiaTheme="minorEastAsia" w:hAnsiTheme="minorEastAsia"/>
          <w:b/>
          <w:color w:val="000000" w:themeColor="text1"/>
          <w:kern w:val="0"/>
          <w:sz w:val="24"/>
        </w:rPr>
        <w:t>的</w:t>
      </w:r>
      <w:r w:rsidRPr="00B34368">
        <w:rPr>
          <w:rFonts w:eastAsiaTheme="minorEastAsia" w:hAnsiTheme="minorEastAsia"/>
          <w:b/>
          <w:color w:val="000000" w:themeColor="text1"/>
          <w:kern w:val="0"/>
          <w:sz w:val="24"/>
        </w:rPr>
        <w:t>说明</w:t>
      </w:r>
    </w:p>
    <w:p w:rsidR="009238DB" w:rsidRPr="00B34368" w:rsidRDefault="00323F25"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9238DB" w:rsidRPr="00B34368" w:rsidRDefault="009238DB"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 xml:space="preserve">4.3 </w:t>
      </w:r>
      <w:r w:rsidRPr="00B34368">
        <w:rPr>
          <w:rFonts w:eastAsiaTheme="minorEastAsia" w:hAnsiTheme="minorEastAsia"/>
          <w:b/>
          <w:color w:val="000000" w:themeColor="text1"/>
          <w:kern w:val="0"/>
          <w:sz w:val="24"/>
        </w:rPr>
        <w:t>公平交易专项说明</w:t>
      </w:r>
    </w:p>
    <w:p w:rsidR="00D15733" w:rsidRPr="00B34368" w:rsidRDefault="00D15733" w:rsidP="00FC13C8">
      <w:pPr>
        <w:spacing w:line="360" w:lineRule="auto"/>
        <w:rPr>
          <w:rFonts w:eastAsiaTheme="minorEastAsia"/>
          <w:color w:val="000000" w:themeColor="text1"/>
          <w:sz w:val="24"/>
        </w:rPr>
      </w:pPr>
      <w:r w:rsidRPr="00B34368">
        <w:rPr>
          <w:rFonts w:eastAsiaTheme="minorEastAsia"/>
          <w:color w:val="000000" w:themeColor="text1"/>
          <w:sz w:val="24"/>
        </w:rPr>
        <w:t xml:space="preserve">4.3.1 </w:t>
      </w:r>
      <w:r w:rsidRPr="00B34368">
        <w:rPr>
          <w:rFonts w:eastAsiaTheme="minorEastAsia" w:hAnsiTheme="minorEastAsia"/>
          <w:color w:val="000000" w:themeColor="text1"/>
          <w:sz w:val="24"/>
        </w:rPr>
        <w:t>公平交易制度的执行情况</w:t>
      </w:r>
    </w:p>
    <w:p w:rsidR="00D15733" w:rsidRPr="00B34368" w:rsidRDefault="00323F25"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B34368">
        <w:rPr>
          <w:rFonts w:eastAsiaTheme="minorEastAsia"/>
          <w:color w:val="000000" w:themeColor="text1"/>
          <w:sz w:val="24"/>
        </w:rPr>
        <w:t>“</w:t>
      </w:r>
      <w:r w:rsidRPr="00B34368">
        <w:rPr>
          <w:rFonts w:eastAsiaTheme="minorEastAsia"/>
          <w:color w:val="000000" w:themeColor="text1"/>
          <w:sz w:val="24"/>
        </w:rPr>
        <w:t>时间优先、价格优先</w:t>
      </w:r>
      <w:r w:rsidRPr="00B34368">
        <w:rPr>
          <w:rFonts w:eastAsiaTheme="minorEastAsia"/>
          <w:color w:val="000000" w:themeColor="text1"/>
          <w:sz w:val="24"/>
        </w:rPr>
        <w:t>”</w:t>
      </w:r>
      <w:r w:rsidRPr="00B34368">
        <w:rPr>
          <w:rFonts w:eastAsiaTheme="minorEastAsia"/>
          <w:color w:val="000000" w:themeColor="text1"/>
          <w:sz w:val="24"/>
        </w:rPr>
        <w:t>作为执行指令的基本原则，通过投资交易系统中的公平交易模块，以尽可能确保公平对待各投资组合。本报告期内，公平交易制度总体执行情况良好。</w:t>
      </w:r>
    </w:p>
    <w:p w:rsidR="00D15733" w:rsidRPr="00B34368" w:rsidRDefault="00D15733" w:rsidP="00FC13C8">
      <w:pPr>
        <w:spacing w:line="360" w:lineRule="auto"/>
        <w:rPr>
          <w:rFonts w:eastAsiaTheme="minorEastAsia"/>
          <w:color w:val="000000" w:themeColor="text1"/>
          <w:sz w:val="24"/>
        </w:rPr>
      </w:pPr>
      <w:r w:rsidRPr="00B34368">
        <w:rPr>
          <w:rFonts w:eastAsiaTheme="minorEastAsia"/>
          <w:color w:val="000000" w:themeColor="text1"/>
          <w:sz w:val="24"/>
        </w:rPr>
        <w:t>4.3.</w:t>
      </w:r>
      <w:r w:rsidR="005B6047" w:rsidRPr="00B34368">
        <w:rPr>
          <w:rFonts w:eastAsiaTheme="minorEastAsia"/>
          <w:color w:val="000000" w:themeColor="text1"/>
          <w:sz w:val="24"/>
        </w:rPr>
        <w:t>2</w:t>
      </w:r>
      <w:r w:rsidRPr="00B34368">
        <w:rPr>
          <w:rFonts w:eastAsiaTheme="minorEastAsia"/>
          <w:color w:val="000000" w:themeColor="text1"/>
          <w:sz w:val="24"/>
        </w:rPr>
        <w:t xml:space="preserve"> </w:t>
      </w:r>
      <w:r w:rsidRPr="00B34368">
        <w:rPr>
          <w:rFonts w:eastAsiaTheme="minorEastAsia" w:hAnsiTheme="minorEastAsia"/>
          <w:color w:val="000000" w:themeColor="text1"/>
          <w:sz w:val="24"/>
        </w:rPr>
        <w:t>异常交易行为的专项说明</w:t>
      </w:r>
    </w:p>
    <w:p w:rsidR="003C69C1" w:rsidRDefault="008901F2">
      <w:pPr>
        <w:spacing w:line="360" w:lineRule="auto"/>
        <w:ind w:firstLineChars="200" w:firstLine="480"/>
        <w:rPr>
          <w:rFonts w:eastAsiaTheme="minorEastAsia"/>
          <w:color w:val="000000" w:themeColor="text1"/>
          <w:sz w:val="24"/>
        </w:rPr>
      </w:pPr>
      <w:r>
        <w:rPr>
          <w:rFonts w:eastAsiaTheme="minorEastAsia"/>
          <w:color w:val="000000" w:themeColor="text1"/>
          <w:sz w:val="24"/>
        </w:rPr>
        <w:t>本报告期内，公司旗下所有投资组合参与的交易所公开竞价交易中，同日反向交易成交较少的单边交易量超过该证券当日成交量的</w:t>
      </w:r>
      <w:r>
        <w:rPr>
          <w:rFonts w:eastAsiaTheme="minorEastAsia"/>
          <w:color w:val="000000" w:themeColor="text1"/>
          <w:sz w:val="24"/>
        </w:rPr>
        <w:t>5%</w:t>
      </w:r>
      <w:r>
        <w:rPr>
          <w:rFonts w:eastAsiaTheme="minorEastAsia"/>
          <w:color w:val="000000" w:themeColor="text1"/>
          <w:sz w:val="24"/>
        </w:rPr>
        <w:t>的交易共</w:t>
      </w:r>
      <w:r>
        <w:rPr>
          <w:rFonts w:eastAsiaTheme="minorEastAsia"/>
          <w:color w:val="000000" w:themeColor="text1"/>
          <w:sz w:val="24"/>
        </w:rPr>
        <w:t>28</w:t>
      </w:r>
      <w:r>
        <w:rPr>
          <w:rFonts w:eastAsiaTheme="minorEastAsia"/>
          <w:color w:val="000000" w:themeColor="text1"/>
          <w:sz w:val="24"/>
        </w:rPr>
        <w:t>次，其中</w:t>
      </w:r>
      <w:r>
        <w:rPr>
          <w:rFonts w:eastAsiaTheme="minorEastAsia"/>
          <w:color w:val="000000" w:themeColor="text1"/>
          <w:sz w:val="24"/>
        </w:rPr>
        <w:t>27</w:t>
      </w:r>
      <w:r>
        <w:rPr>
          <w:rFonts w:eastAsiaTheme="minorEastAsia"/>
          <w:color w:val="000000" w:themeColor="text1"/>
          <w:sz w:val="24"/>
        </w:rPr>
        <w:t>次为指数量化投资组合因投资策略需要和其他组合发生的反向交易</w:t>
      </w:r>
      <w:r>
        <w:rPr>
          <w:rFonts w:eastAsiaTheme="minorEastAsia"/>
          <w:color w:val="000000" w:themeColor="text1"/>
          <w:sz w:val="24"/>
        </w:rPr>
        <w:t>，</w:t>
      </w:r>
      <w:r>
        <w:rPr>
          <w:rFonts w:eastAsiaTheme="minorEastAsia"/>
          <w:color w:val="000000" w:themeColor="text1"/>
          <w:sz w:val="24"/>
        </w:rPr>
        <w:t>1</w:t>
      </w:r>
      <w:r>
        <w:rPr>
          <w:rFonts w:eastAsiaTheme="minorEastAsia"/>
          <w:color w:val="000000" w:themeColor="text1"/>
          <w:sz w:val="24"/>
        </w:rPr>
        <w:t>次为不同基金经理管理的基金因投资策略不同而发生的反向交易，有关基金经理按规定履行了审批程序。</w:t>
      </w:r>
    </w:p>
    <w:p w:rsidR="009238DB" w:rsidRPr="00B34368" w:rsidRDefault="00323F25"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本报告期内，未发现本基金有可能导致不公平交易和利益输送的异常交易。</w:t>
      </w:r>
    </w:p>
    <w:p w:rsidR="009238DB" w:rsidRPr="00B34368" w:rsidRDefault="009238DB"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 xml:space="preserve">4.4 </w:t>
      </w:r>
      <w:r w:rsidRPr="00B34368">
        <w:rPr>
          <w:rFonts w:eastAsiaTheme="minorEastAsia" w:hAnsiTheme="minorEastAsia"/>
          <w:b/>
          <w:color w:val="000000" w:themeColor="text1"/>
          <w:kern w:val="0"/>
          <w:sz w:val="24"/>
        </w:rPr>
        <w:t>报告期内基金的投资策略和业绩表现说明</w:t>
      </w:r>
    </w:p>
    <w:p w:rsidR="00952A72" w:rsidRPr="00B34368" w:rsidRDefault="00952A72" w:rsidP="00FC13C8">
      <w:pPr>
        <w:spacing w:line="360" w:lineRule="auto"/>
        <w:rPr>
          <w:rFonts w:eastAsiaTheme="minorEastAsia"/>
          <w:color w:val="000000" w:themeColor="text1"/>
          <w:sz w:val="24"/>
        </w:rPr>
      </w:pPr>
      <w:r w:rsidRPr="00B34368">
        <w:rPr>
          <w:rFonts w:eastAsiaTheme="minorEastAsia"/>
          <w:color w:val="000000" w:themeColor="text1"/>
          <w:sz w:val="24"/>
        </w:rPr>
        <w:t>4.4.1</w:t>
      </w:r>
      <w:r w:rsidRPr="00B34368">
        <w:rPr>
          <w:rFonts w:eastAsiaTheme="minorEastAsia" w:hAnsiTheme="minorEastAsia"/>
          <w:color w:val="000000" w:themeColor="text1"/>
          <w:sz w:val="24"/>
        </w:rPr>
        <w:t>报告期内基金投资策略和运作分析</w:t>
      </w:r>
    </w:p>
    <w:p w:rsidR="003C69C1" w:rsidRDefault="008901F2">
      <w:pPr>
        <w:spacing w:line="360" w:lineRule="auto"/>
        <w:ind w:firstLineChars="200" w:firstLine="480"/>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年四季度以来国内宏观经济景气度较前期出现好转，企业库存继续回落，库存周期已由前期的主动去库存阶段进入到被动去库存阶段。最新公布的宏观经济数据呈现出改善迹象，</w:t>
      </w:r>
      <w:r>
        <w:rPr>
          <w:rFonts w:eastAsiaTheme="minorEastAsia"/>
          <w:color w:val="000000" w:themeColor="text1"/>
          <w:sz w:val="24"/>
        </w:rPr>
        <w:t>11</w:t>
      </w:r>
      <w:r>
        <w:rPr>
          <w:rFonts w:eastAsiaTheme="minorEastAsia"/>
          <w:color w:val="000000" w:themeColor="text1"/>
          <w:sz w:val="24"/>
        </w:rPr>
        <w:t>月份固定资产投资同比增加</w:t>
      </w:r>
      <w:r>
        <w:rPr>
          <w:rFonts w:eastAsiaTheme="minorEastAsia"/>
          <w:color w:val="000000" w:themeColor="text1"/>
          <w:sz w:val="24"/>
        </w:rPr>
        <w:t>5.2%</w:t>
      </w:r>
      <w:r>
        <w:rPr>
          <w:rFonts w:eastAsiaTheme="minorEastAsia"/>
          <w:color w:val="000000" w:themeColor="text1"/>
          <w:sz w:val="24"/>
        </w:rPr>
        <w:t>，与前值持平，社会消费品零售总额当月同比增加</w:t>
      </w:r>
      <w:r>
        <w:rPr>
          <w:rFonts w:eastAsiaTheme="minorEastAsia"/>
          <w:color w:val="000000" w:themeColor="text1"/>
          <w:sz w:val="24"/>
        </w:rPr>
        <w:t>8.0%</w:t>
      </w:r>
      <w:r>
        <w:rPr>
          <w:rFonts w:eastAsiaTheme="minorEastAsia"/>
          <w:color w:val="000000" w:themeColor="text1"/>
          <w:sz w:val="24"/>
        </w:rPr>
        <w:t>，前值</w:t>
      </w:r>
      <w:r>
        <w:rPr>
          <w:rFonts w:eastAsiaTheme="minorEastAsia"/>
          <w:color w:val="000000" w:themeColor="text1"/>
          <w:sz w:val="24"/>
        </w:rPr>
        <w:t>7.2%</w:t>
      </w:r>
      <w:r>
        <w:rPr>
          <w:rFonts w:eastAsiaTheme="minorEastAsia"/>
          <w:color w:val="000000" w:themeColor="text1"/>
          <w:sz w:val="24"/>
        </w:rPr>
        <w:t>；</w:t>
      </w: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1-11</w:t>
      </w:r>
      <w:r>
        <w:rPr>
          <w:rFonts w:eastAsiaTheme="minorEastAsia"/>
          <w:color w:val="000000" w:themeColor="text1"/>
          <w:sz w:val="24"/>
        </w:rPr>
        <w:t>月规模以上工业企业利润总额累计同比增长</w:t>
      </w:r>
      <w:r>
        <w:rPr>
          <w:rFonts w:eastAsiaTheme="minorEastAsia"/>
          <w:color w:val="000000" w:themeColor="text1"/>
          <w:sz w:val="24"/>
        </w:rPr>
        <w:t>-2.1%</w:t>
      </w:r>
      <w:r>
        <w:rPr>
          <w:rFonts w:eastAsiaTheme="minorEastAsia"/>
          <w:color w:val="000000" w:themeColor="text1"/>
          <w:sz w:val="24"/>
        </w:rPr>
        <w:t>，前值为</w:t>
      </w:r>
      <w:r>
        <w:rPr>
          <w:rFonts w:eastAsiaTheme="minorEastAsia"/>
          <w:color w:val="000000" w:themeColor="text1"/>
          <w:sz w:val="24"/>
        </w:rPr>
        <w:t>-2.9%</w:t>
      </w:r>
      <w:r>
        <w:rPr>
          <w:rFonts w:eastAsiaTheme="minorEastAsia"/>
          <w:color w:val="000000" w:themeColor="text1"/>
          <w:sz w:val="24"/>
        </w:rPr>
        <w:t>，其中</w:t>
      </w:r>
      <w:r>
        <w:rPr>
          <w:rFonts w:eastAsiaTheme="minorEastAsia"/>
          <w:color w:val="000000" w:themeColor="text1"/>
          <w:sz w:val="24"/>
        </w:rPr>
        <w:t>11</w:t>
      </w:r>
      <w:r>
        <w:rPr>
          <w:rFonts w:eastAsiaTheme="minorEastAsia"/>
          <w:color w:val="000000" w:themeColor="text1"/>
          <w:sz w:val="24"/>
        </w:rPr>
        <w:t>月规模以上工业企业利润总额单月同比增速</w:t>
      </w:r>
      <w:r>
        <w:rPr>
          <w:rFonts w:eastAsiaTheme="minorEastAsia"/>
          <w:color w:val="000000" w:themeColor="text1"/>
          <w:sz w:val="24"/>
        </w:rPr>
        <w:t>5.4%</w:t>
      </w:r>
      <w:r>
        <w:rPr>
          <w:rFonts w:eastAsiaTheme="minorEastAsia"/>
          <w:color w:val="000000" w:themeColor="text1"/>
          <w:sz w:val="24"/>
        </w:rPr>
        <w:t>，大幅高于前值</w:t>
      </w:r>
      <w:r>
        <w:rPr>
          <w:rFonts w:eastAsiaTheme="minorEastAsia"/>
          <w:color w:val="000000" w:themeColor="text1"/>
          <w:sz w:val="24"/>
        </w:rPr>
        <w:t>-9.9%</w:t>
      </w:r>
      <w:r>
        <w:rPr>
          <w:rFonts w:eastAsiaTheme="minorEastAsia"/>
          <w:color w:val="000000" w:themeColor="text1"/>
          <w:sz w:val="24"/>
        </w:rPr>
        <w:t>；</w:t>
      </w:r>
      <w:r>
        <w:rPr>
          <w:rFonts w:eastAsiaTheme="minorEastAsia"/>
          <w:color w:val="000000" w:themeColor="text1"/>
          <w:sz w:val="24"/>
        </w:rPr>
        <w:t>12</w:t>
      </w:r>
      <w:r>
        <w:rPr>
          <w:rFonts w:eastAsiaTheme="minorEastAsia"/>
          <w:color w:val="000000" w:themeColor="text1"/>
          <w:sz w:val="24"/>
        </w:rPr>
        <w:t>月全国制造业</w:t>
      </w:r>
      <w:r>
        <w:rPr>
          <w:rFonts w:eastAsiaTheme="minorEastAsia"/>
          <w:color w:val="000000" w:themeColor="text1"/>
          <w:sz w:val="24"/>
        </w:rPr>
        <w:t>PMI</w:t>
      </w:r>
      <w:r>
        <w:rPr>
          <w:rFonts w:eastAsiaTheme="minorEastAsia"/>
          <w:color w:val="000000" w:themeColor="text1"/>
          <w:sz w:val="24"/>
        </w:rPr>
        <w:t>为</w:t>
      </w:r>
      <w:r>
        <w:rPr>
          <w:rFonts w:eastAsiaTheme="minorEastAsia"/>
          <w:color w:val="000000" w:themeColor="text1"/>
          <w:sz w:val="24"/>
        </w:rPr>
        <w:t>50.2%</w:t>
      </w:r>
      <w:r>
        <w:rPr>
          <w:rFonts w:eastAsiaTheme="minorEastAsia"/>
          <w:color w:val="000000" w:themeColor="text1"/>
          <w:sz w:val="24"/>
        </w:rPr>
        <w:t>，较</w:t>
      </w:r>
      <w:r>
        <w:rPr>
          <w:rFonts w:eastAsiaTheme="minorEastAsia"/>
          <w:color w:val="000000" w:themeColor="text1"/>
          <w:sz w:val="24"/>
        </w:rPr>
        <w:t>11</w:t>
      </w:r>
      <w:r>
        <w:rPr>
          <w:rFonts w:eastAsiaTheme="minorEastAsia"/>
          <w:color w:val="000000" w:themeColor="text1"/>
          <w:sz w:val="24"/>
        </w:rPr>
        <w:t>月持平，维持在年内次高点，且连续两个</w:t>
      </w:r>
      <w:r>
        <w:rPr>
          <w:rFonts w:eastAsiaTheme="minorEastAsia"/>
          <w:color w:val="000000" w:themeColor="text1"/>
          <w:sz w:val="24"/>
        </w:rPr>
        <w:t>月处于扩张区间，指向制造业景气仍强。由于宏观经济整体下行压力犹存，四季度宏观经济政策延续了前期货币政策宽松和逆周期调节的力度，加速</w:t>
      </w:r>
      <w:r>
        <w:rPr>
          <w:rFonts w:eastAsiaTheme="minorEastAsia"/>
          <w:color w:val="000000" w:themeColor="text1"/>
          <w:sz w:val="24"/>
        </w:rPr>
        <w:t>LPR</w:t>
      </w:r>
      <w:r>
        <w:rPr>
          <w:rFonts w:eastAsiaTheme="minorEastAsia"/>
          <w:color w:val="000000" w:themeColor="text1"/>
          <w:sz w:val="24"/>
        </w:rPr>
        <w:t>作为存量贷款定价锚的改革以降低实体经济成本并推动信贷扩张。外围市场方面，在中美贸易摩擦阶段性缓和，美联储连续降息、重启回购和扩表等货币政策宽松之下，全球市场风险偏好提升，美股挑战历史新高。在中国宏观经济数据显示阶段性企稳的背景下，四季度人民币对美元即期汇率扭转前期贬值趋势，季末在岸和离岸美元对人民币即期汇率均回落至</w:t>
      </w:r>
      <w:r>
        <w:rPr>
          <w:rFonts w:eastAsiaTheme="minorEastAsia"/>
          <w:color w:val="000000" w:themeColor="text1"/>
          <w:sz w:val="24"/>
        </w:rPr>
        <w:t>6.96</w:t>
      </w:r>
      <w:r>
        <w:rPr>
          <w:rFonts w:eastAsiaTheme="minorEastAsia"/>
          <w:color w:val="000000" w:themeColor="text1"/>
          <w:sz w:val="24"/>
        </w:rPr>
        <w:t>附近。资本市场方面，随着经济数据回暖，央行连续调降政</w:t>
      </w:r>
      <w:r>
        <w:rPr>
          <w:rFonts w:eastAsiaTheme="minorEastAsia"/>
          <w:color w:val="000000" w:themeColor="text1"/>
          <w:sz w:val="24"/>
        </w:rPr>
        <w:t>策利率、以及中美贸易摩擦阶段性缓和，</w:t>
      </w:r>
      <w:r>
        <w:rPr>
          <w:rFonts w:eastAsiaTheme="minorEastAsia"/>
          <w:color w:val="000000" w:themeColor="text1"/>
          <w:sz w:val="24"/>
        </w:rPr>
        <w:t>A</w:t>
      </w:r>
      <w:r>
        <w:rPr>
          <w:rFonts w:eastAsiaTheme="minorEastAsia"/>
          <w:color w:val="000000" w:themeColor="text1"/>
          <w:sz w:val="24"/>
        </w:rPr>
        <w:t>股市场对于后续经济企稳的预期升温，尤其</w:t>
      </w:r>
      <w:r>
        <w:rPr>
          <w:rFonts w:eastAsiaTheme="minorEastAsia"/>
          <w:color w:val="000000" w:themeColor="text1"/>
          <w:sz w:val="24"/>
        </w:rPr>
        <w:t>12</w:t>
      </w:r>
      <w:r>
        <w:rPr>
          <w:rFonts w:eastAsiaTheme="minorEastAsia"/>
          <w:color w:val="000000" w:themeColor="text1"/>
          <w:sz w:val="24"/>
        </w:rPr>
        <w:t>月份货币政策的边际放松超出市场预期，引发了股票市场反弹，四季度上证综指以上涨</w:t>
      </w:r>
      <w:r>
        <w:rPr>
          <w:rFonts w:eastAsiaTheme="minorEastAsia"/>
          <w:color w:val="000000" w:themeColor="text1"/>
          <w:sz w:val="24"/>
        </w:rPr>
        <w:t>4.99%</w:t>
      </w:r>
      <w:r>
        <w:rPr>
          <w:rFonts w:eastAsiaTheme="minorEastAsia"/>
          <w:color w:val="000000" w:themeColor="text1"/>
          <w:sz w:val="24"/>
        </w:rPr>
        <w:t>收官。风格方面，小盘股表现好于大盘股，上证</w:t>
      </w:r>
      <w:r>
        <w:rPr>
          <w:rFonts w:eastAsiaTheme="minorEastAsia"/>
          <w:color w:val="000000" w:themeColor="text1"/>
          <w:sz w:val="24"/>
        </w:rPr>
        <w:t>50</w:t>
      </w:r>
      <w:r>
        <w:rPr>
          <w:rFonts w:eastAsiaTheme="minorEastAsia"/>
          <w:color w:val="000000" w:themeColor="text1"/>
          <w:sz w:val="24"/>
        </w:rPr>
        <w:t>指数、沪深</w:t>
      </w:r>
      <w:r>
        <w:rPr>
          <w:rFonts w:eastAsiaTheme="minorEastAsia"/>
          <w:color w:val="000000" w:themeColor="text1"/>
          <w:sz w:val="24"/>
        </w:rPr>
        <w:t>300</w:t>
      </w:r>
      <w:r>
        <w:rPr>
          <w:rFonts w:eastAsiaTheme="minorEastAsia"/>
          <w:color w:val="000000" w:themeColor="text1"/>
          <w:sz w:val="24"/>
        </w:rPr>
        <w:t>指数、创业板指分别上涨</w:t>
      </w:r>
      <w:r>
        <w:rPr>
          <w:rFonts w:eastAsiaTheme="minorEastAsia"/>
          <w:color w:val="000000" w:themeColor="text1"/>
          <w:sz w:val="24"/>
        </w:rPr>
        <w:t>5.71%</w:t>
      </w:r>
      <w:r>
        <w:rPr>
          <w:rFonts w:eastAsiaTheme="minorEastAsia"/>
          <w:color w:val="000000" w:themeColor="text1"/>
          <w:sz w:val="24"/>
        </w:rPr>
        <w:t>、</w:t>
      </w:r>
      <w:r>
        <w:rPr>
          <w:rFonts w:eastAsiaTheme="minorEastAsia"/>
          <w:color w:val="000000" w:themeColor="text1"/>
          <w:sz w:val="24"/>
        </w:rPr>
        <w:t>7.39%</w:t>
      </w:r>
      <w:r>
        <w:rPr>
          <w:rFonts w:eastAsiaTheme="minorEastAsia"/>
          <w:color w:val="000000" w:themeColor="text1"/>
          <w:sz w:val="24"/>
        </w:rPr>
        <w:t>、</w:t>
      </w:r>
      <w:r>
        <w:rPr>
          <w:rFonts w:eastAsiaTheme="minorEastAsia"/>
          <w:color w:val="000000" w:themeColor="text1"/>
          <w:sz w:val="24"/>
        </w:rPr>
        <w:t>10.48%</w:t>
      </w:r>
      <w:r>
        <w:rPr>
          <w:rFonts w:eastAsiaTheme="minorEastAsia"/>
          <w:color w:val="000000" w:themeColor="text1"/>
          <w:sz w:val="24"/>
        </w:rPr>
        <w:t>；行业方面，建筑材料、电子、家用电器、传媒、房地产、证券公司、有色金属等板块涨幅居前，国防军工、商业贸易、保险等板块表现落后。</w:t>
      </w:r>
    </w:p>
    <w:p w:rsidR="00952A72" w:rsidRPr="00B34368" w:rsidRDefault="00323F25"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本基金是易方达沪深</w:t>
      </w:r>
      <w:r w:rsidRPr="00B34368">
        <w:rPr>
          <w:rFonts w:eastAsiaTheme="minorEastAsia"/>
          <w:color w:val="000000" w:themeColor="text1"/>
          <w:sz w:val="24"/>
        </w:rPr>
        <w:t>300ETF</w:t>
      </w:r>
      <w:r w:rsidRPr="00B34368">
        <w:rPr>
          <w:rFonts w:eastAsiaTheme="minorEastAsia"/>
          <w:color w:val="000000" w:themeColor="text1"/>
          <w:sz w:val="24"/>
        </w:rPr>
        <w:t>的联接基金，主要投资于沪深</w:t>
      </w:r>
      <w:r w:rsidRPr="00B34368">
        <w:rPr>
          <w:rFonts w:eastAsiaTheme="minorEastAsia"/>
          <w:color w:val="000000" w:themeColor="text1"/>
          <w:sz w:val="24"/>
        </w:rPr>
        <w:t>300ETF</w:t>
      </w:r>
      <w:r w:rsidRPr="00B34368">
        <w:rPr>
          <w:rFonts w:eastAsiaTheme="minorEastAsia"/>
          <w:color w:val="000000" w:themeColor="text1"/>
          <w:sz w:val="24"/>
        </w:rPr>
        <w:t>。报告期内本基金为正常运作期，在操作中，我们严格遵守基金合同，依据基金申购赎回变动的情况进行日常操作，控制跟踪误差和跟踪偏离度在较低水平上。</w:t>
      </w:r>
    </w:p>
    <w:p w:rsidR="00952A72" w:rsidRPr="00B34368" w:rsidRDefault="00952A72" w:rsidP="00FC13C8">
      <w:pPr>
        <w:spacing w:line="360" w:lineRule="auto"/>
        <w:rPr>
          <w:rFonts w:eastAsiaTheme="minorEastAsia"/>
          <w:color w:val="000000" w:themeColor="text1"/>
          <w:sz w:val="24"/>
        </w:rPr>
      </w:pPr>
      <w:r w:rsidRPr="00B34368">
        <w:rPr>
          <w:rFonts w:eastAsiaTheme="minorEastAsia"/>
          <w:color w:val="000000" w:themeColor="text1"/>
          <w:sz w:val="24"/>
        </w:rPr>
        <w:t>4.4.2</w:t>
      </w:r>
      <w:r w:rsidRPr="00B34368">
        <w:rPr>
          <w:rFonts w:eastAsiaTheme="minorEastAsia" w:hAnsiTheme="minorEastAsia"/>
          <w:color w:val="000000" w:themeColor="text1"/>
          <w:sz w:val="24"/>
        </w:rPr>
        <w:t>报告期内基金的业绩表现</w:t>
      </w:r>
    </w:p>
    <w:p w:rsidR="003C69C1" w:rsidRDefault="008901F2">
      <w:pPr>
        <w:spacing w:line="360" w:lineRule="auto"/>
        <w:ind w:firstLineChars="200" w:firstLine="480"/>
        <w:rPr>
          <w:rFonts w:eastAsiaTheme="minorEastAsia"/>
          <w:color w:val="000000" w:themeColor="text1"/>
          <w:sz w:val="24"/>
        </w:rPr>
      </w:pPr>
      <w:r>
        <w:rPr>
          <w:rFonts w:eastAsiaTheme="minorEastAsia"/>
          <w:color w:val="000000" w:themeColor="text1"/>
          <w:sz w:val="24"/>
        </w:rPr>
        <w:t>截至报告期末，本基金</w:t>
      </w:r>
      <w:r>
        <w:rPr>
          <w:rFonts w:eastAsiaTheme="minorEastAsia"/>
          <w:color w:val="000000" w:themeColor="text1"/>
          <w:sz w:val="24"/>
        </w:rPr>
        <w:t>A</w:t>
      </w:r>
      <w:r>
        <w:rPr>
          <w:rFonts w:eastAsiaTheme="minorEastAsia"/>
          <w:color w:val="000000" w:themeColor="text1"/>
          <w:sz w:val="24"/>
        </w:rPr>
        <w:t>类基金份额净值为</w:t>
      </w:r>
      <w:r>
        <w:rPr>
          <w:rFonts w:eastAsiaTheme="minorEastAsia"/>
          <w:color w:val="000000" w:themeColor="text1"/>
          <w:sz w:val="24"/>
        </w:rPr>
        <w:t>1.4241</w:t>
      </w:r>
      <w:r>
        <w:rPr>
          <w:rFonts w:eastAsiaTheme="minorEastAsia"/>
          <w:color w:val="000000" w:themeColor="text1"/>
          <w:sz w:val="24"/>
        </w:rPr>
        <w:t>元，本报告期份额净值增长率为</w:t>
      </w:r>
      <w:r>
        <w:rPr>
          <w:rFonts w:eastAsiaTheme="minorEastAsia"/>
          <w:color w:val="000000" w:themeColor="text1"/>
          <w:sz w:val="24"/>
        </w:rPr>
        <w:t>6.86%</w:t>
      </w:r>
      <w:r>
        <w:rPr>
          <w:rFonts w:eastAsiaTheme="minorEastAsia"/>
          <w:color w:val="000000" w:themeColor="text1"/>
          <w:sz w:val="24"/>
        </w:rPr>
        <w:t>；</w:t>
      </w:r>
      <w:r>
        <w:rPr>
          <w:rFonts w:eastAsiaTheme="minorEastAsia"/>
          <w:color w:val="000000" w:themeColor="text1"/>
          <w:sz w:val="24"/>
        </w:rPr>
        <w:t>C</w:t>
      </w:r>
      <w:r>
        <w:rPr>
          <w:rFonts w:eastAsiaTheme="minorEastAsia"/>
          <w:color w:val="000000" w:themeColor="text1"/>
          <w:sz w:val="24"/>
        </w:rPr>
        <w:t>类基金份额净值为</w:t>
      </w:r>
      <w:r>
        <w:rPr>
          <w:rFonts w:eastAsiaTheme="minorEastAsia"/>
          <w:color w:val="000000" w:themeColor="text1"/>
          <w:sz w:val="24"/>
        </w:rPr>
        <w:t>1.4222</w:t>
      </w:r>
      <w:r>
        <w:rPr>
          <w:rFonts w:eastAsiaTheme="minorEastAsia"/>
          <w:color w:val="000000" w:themeColor="text1"/>
          <w:sz w:val="24"/>
        </w:rPr>
        <w:t>元，本报告期份额净值增长率为</w:t>
      </w:r>
      <w:r>
        <w:rPr>
          <w:rFonts w:eastAsiaTheme="minorEastAsia"/>
          <w:color w:val="000000" w:themeColor="text1"/>
          <w:sz w:val="24"/>
        </w:rPr>
        <w:t>6.81%</w:t>
      </w:r>
      <w:r>
        <w:rPr>
          <w:rFonts w:eastAsiaTheme="minorEastAsia"/>
          <w:color w:val="000000" w:themeColor="text1"/>
          <w:sz w:val="24"/>
        </w:rPr>
        <w:t>；同期业绩比较基准收益率为</w:t>
      </w:r>
      <w:r>
        <w:rPr>
          <w:rFonts w:eastAsiaTheme="minorEastAsia"/>
          <w:color w:val="000000" w:themeColor="text1"/>
          <w:sz w:val="24"/>
        </w:rPr>
        <w:t>7.03%</w:t>
      </w:r>
      <w:r>
        <w:rPr>
          <w:rFonts w:eastAsiaTheme="minorEastAsia"/>
          <w:color w:val="000000" w:themeColor="text1"/>
          <w:sz w:val="24"/>
        </w:rPr>
        <w:t>。</w:t>
      </w:r>
    </w:p>
    <w:p w:rsidR="008129C0" w:rsidRPr="00F405D4" w:rsidRDefault="00323F25" w:rsidP="00F405D4">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报告期内本基金日跟踪偏离度的均值为</w:t>
      </w:r>
      <w:r w:rsidRPr="00B34368">
        <w:rPr>
          <w:rFonts w:eastAsiaTheme="minorEastAsia"/>
          <w:color w:val="000000" w:themeColor="text1"/>
          <w:sz w:val="24"/>
        </w:rPr>
        <w:t>0.01%</w:t>
      </w:r>
      <w:r w:rsidRPr="00B34368">
        <w:rPr>
          <w:rFonts w:eastAsiaTheme="minorEastAsia"/>
          <w:color w:val="000000" w:themeColor="text1"/>
          <w:sz w:val="24"/>
        </w:rPr>
        <w:t>，年化跟踪误差为</w:t>
      </w:r>
      <w:r w:rsidRPr="00B34368">
        <w:rPr>
          <w:rFonts w:eastAsiaTheme="minorEastAsia"/>
          <w:color w:val="000000" w:themeColor="text1"/>
          <w:sz w:val="24"/>
        </w:rPr>
        <w:t>0.257%</w:t>
      </w:r>
      <w:r w:rsidRPr="00B34368">
        <w:rPr>
          <w:rFonts w:eastAsiaTheme="minorEastAsia"/>
          <w:color w:val="000000" w:themeColor="text1"/>
          <w:sz w:val="24"/>
        </w:rPr>
        <w:t>，各项指标均在合同规定的目标控制范围之内。</w:t>
      </w:r>
    </w:p>
    <w:p w:rsidR="009238DB" w:rsidRPr="00B34368" w:rsidRDefault="009238DB" w:rsidP="00C544B8">
      <w:pPr>
        <w:pStyle w:val="1"/>
        <w:spacing w:beforeLines="100" w:before="312" w:afterLines="100" w:after="312" w:line="360" w:lineRule="auto"/>
        <w:jc w:val="center"/>
        <w:rPr>
          <w:rFonts w:eastAsiaTheme="minorEastAsia"/>
          <w:color w:val="000000" w:themeColor="text1"/>
          <w:kern w:val="0"/>
          <w:sz w:val="24"/>
          <w:szCs w:val="24"/>
        </w:rPr>
      </w:pPr>
      <w:r w:rsidRPr="00B34368">
        <w:rPr>
          <w:rFonts w:eastAsiaTheme="minorEastAsia"/>
          <w:color w:val="000000" w:themeColor="text1"/>
          <w:kern w:val="0"/>
          <w:sz w:val="24"/>
          <w:szCs w:val="24"/>
        </w:rPr>
        <w:t xml:space="preserve">§5  </w:t>
      </w:r>
      <w:r w:rsidRPr="00B34368">
        <w:rPr>
          <w:rFonts w:eastAsiaTheme="minorEastAsia" w:hAnsiTheme="minorEastAsia"/>
          <w:color w:val="000000" w:themeColor="text1"/>
          <w:kern w:val="0"/>
          <w:sz w:val="24"/>
          <w:szCs w:val="24"/>
        </w:rPr>
        <w:t>投资组合报告</w:t>
      </w:r>
    </w:p>
    <w:p w:rsidR="009238DB" w:rsidRPr="00B34368" w:rsidRDefault="009238DB" w:rsidP="00FC13C8">
      <w:pPr>
        <w:autoSpaceDE w:val="0"/>
        <w:autoSpaceDN w:val="0"/>
        <w:adjustRightInd w:val="0"/>
        <w:spacing w:line="360" w:lineRule="auto"/>
        <w:jc w:val="left"/>
        <w:rPr>
          <w:rFonts w:eastAsiaTheme="minorEastAsia"/>
          <w:b/>
          <w:color w:val="000000" w:themeColor="text1"/>
          <w:kern w:val="0"/>
          <w:sz w:val="24"/>
        </w:rPr>
      </w:pPr>
      <w:r w:rsidRPr="00B34368">
        <w:rPr>
          <w:rFonts w:eastAsiaTheme="minorEastAsia"/>
          <w:b/>
          <w:color w:val="000000" w:themeColor="text1"/>
          <w:kern w:val="0"/>
          <w:sz w:val="24"/>
        </w:rPr>
        <w:t xml:space="preserve">5.1 </w:t>
      </w:r>
      <w:r w:rsidRPr="00B34368">
        <w:rPr>
          <w:rFonts w:eastAsiaTheme="minorEastAsia" w:hAnsiTheme="minorEastAsia"/>
          <w:b/>
          <w:color w:val="000000" w:themeColor="text1"/>
          <w:kern w:val="0"/>
          <w:sz w:val="24"/>
        </w:rPr>
        <w:t>报告期末基金资产组合情况</w:t>
      </w:r>
    </w:p>
    <w:tbl>
      <w:tblPr>
        <w:tblStyle w:val="af2"/>
        <w:tblW w:w="0" w:type="auto"/>
        <w:tblInd w:w="108" w:type="dxa"/>
        <w:tblLayout w:type="fixed"/>
        <w:tblLook w:val="04A0" w:firstRow="1" w:lastRow="0" w:firstColumn="1" w:lastColumn="0" w:noHBand="0" w:noVBand="1"/>
      </w:tblPr>
      <w:tblGrid>
        <w:gridCol w:w="720"/>
        <w:gridCol w:w="3357"/>
        <w:gridCol w:w="2694"/>
        <w:gridCol w:w="1757"/>
      </w:tblGrid>
      <w:tr w:rsidR="00D3639B" w:rsidRPr="00B34368" w:rsidTr="00975D18">
        <w:tc>
          <w:tcPr>
            <w:tcW w:w="720"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序号</w:t>
            </w:r>
          </w:p>
        </w:tc>
        <w:tc>
          <w:tcPr>
            <w:tcW w:w="3357"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项目</w:t>
            </w:r>
          </w:p>
        </w:tc>
        <w:tc>
          <w:tcPr>
            <w:tcW w:w="2694"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金额</w:t>
            </w:r>
            <w:r w:rsidRPr="00B34368">
              <w:rPr>
                <w:rFonts w:eastAsiaTheme="minorEastAsia"/>
                <w:color w:val="000000" w:themeColor="text1"/>
                <w:sz w:val="24"/>
              </w:rPr>
              <w:t>(</w:t>
            </w:r>
            <w:r w:rsidRPr="00B34368">
              <w:rPr>
                <w:rFonts w:eastAsiaTheme="minorEastAsia" w:hAnsiTheme="minorEastAsia"/>
                <w:color w:val="000000" w:themeColor="text1"/>
                <w:sz w:val="24"/>
              </w:rPr>
              <w:t>元</w:t>
            </w:r>
            <w:r w:rsidRPr="00B34368">
              <w:rPr>
                <w:rFonts w:eastAsiaTheme="minorEastAsia"/>
                <w:color w:val="000000" w:themeColor="text1"/>
                <w:sz w:val="24"/>
              </w:rPr>
              <w:t>)</w:t>
            </w:r>
          </w:p>
        </w:tc>
        <w:tc>
          <w:tcPr>
            <w:tcW w:w="1757"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占基金总资产的比例</w:t>
            </w:r>
            <w:r w:rsidRPr="00B34368">
              <w:rPr>
                <w:rFonts w:eastAsiaTheme="minorEastAsia"/>
                <w:color w:val="000000" w:themeColor="text1"/>
                <w:sz w:val="24"/>
              </w:rPr>
              <w:t>(%)</w:t>
            </w:r>
          </w:p>
        </w:tc>
      </w:tr>
      <w:tr w:rsidR="00D3639B" w:rsidRPr="00B34368" w:rsidTr="00975D18">
        <w:tc>
          <w:tcPr>
            <w:tcW w:w="720"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1</w:t>
            </w:r>
          </w:p>
        </w:tc>
        <w:tc>
          <w:tcPr>
            <w:tcW w:w="3357" w:type="dxa"/>
            <w:vAlign w:val="center"/>
          </w:tcPr>
          <w:p w:rsidR="00B20F47" w:rsidRPr="00B34368" w:rsidRDefault="00B20F47"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权益投资</w:t>
            </w:r>
          </w:p>
        </w:tc>
        <w:tc>
          <w:tcPr>
            <w:tcW w:w="2694"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41,083,544.08</w:t>
            </w:r>
          </w:p>
        </w:tc>
        <w:tc>
          <w:tcPr>
            <w:tcW w:w="1757"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0.58</w:t>
            </w:r>
          </w:p>
        </w:tc>
      </w:tr>
      <w:tr w:rsidR="00D3639B" w:rsidRPr="00B34368" w:rsidTr="00975D18">
        <w:tc>
          <w:tcPr>
            <w:tcW w:w="720"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p>
        </w:tc>
        <w:tc>
          <w:tcPr>
            <w:tcW w:w="3357" w:type="dxa"/>
            <w:vAlign w:val="center"/>
          </w:tcPr>
          <w:p w:rsidR="00B20F47" w:rsidRPr="00B34368" w:rsidRDefault="00B20F47"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其中：股票</w:t>
            </w:r>
          </w:p>
        </w:tc>
        <w:tc>
          <w:tcPr>
            <w:tcW w:w="2694"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41,083,544.08</w:t>
            </w:r>
          </w:p>
        </w:tc>
        <w:tc>
          <w:tcPr>
            <w:tcW w:w="1757"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0.58</w:t>
            </w:r>
          </w:p>
        </w:tc>
      </w:tr>
      <w:tr w:rsidR="00D3639B" w:rsidRPr="00B34368" w:rsidTr="00975D18">
        <w:tc>
          <w:tcPr>
            <w:tcW w:w="720"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2</w:t>
            </w:r>
          </w:p>
        </w:tc>
        <w:tc>
          <w:tcPr>
            <w:tcW w:w="3357" w:type="dxa"/>
            <w:vAlign w:val="center"/>
          </w:tcPr>
          <w:p w:rsidR="00B20F47" w:rsidRPr="00B34368" w:rsidRDefault="00B20F47"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基金投资</w:t>
            </w:r>
          </w:p>
        </w:tc>
        <w:tc>
          <w:tcPr>
            <w:tcW w:w="2694"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6,586,728,551.80</w:t>
            </w:r>
          </w:p>
        </w:tc>
        <w:tc>
          <w:tcPr>
            <w:tcW w:w="1757"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92.59</w:t>
            </w:r>
          </w:p>
        </w:tc>
      </w:tr>
      <w:tr w:rsidR="00D3639B" w:rsidRPr="00B34368" w:rsidTr="00975D18">
        <w:tc>
          <w:tcPr>
            <w:tcW w:w="720"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3</w:t>
            </w:r>
          </w:p>
        </w:tc>
        <w:tc>
          <w:tcPr>
            <w:tcW w:w="3357" w:type="dxa"/>
            <w:vAlign w:val="center"/>
          </w:tcPr>
          <w:p w:rsidR="00B20F47" w:rsidRPr="00B34368" w:rsidRDefault="00B20F47"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固定收益投资</w:t>
            </w:r>
          </w:p>
        </w:tc>
        <w:tc>
          <w:tcPr>
            <w:tcW w:w="2694"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231,760,982.05</w:t>
            </w:r>
          </w:p>
        </w:tc>
        <w:tc>
          <w:tcPr>
            <w:tcW w:w="1757"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3.26</w:t>
            </w:r>
          </w:p>
        </w:tc>
      </w:tr>
      <w:tr w:rsidR="00D3639B" w:rsidRPr="00B34368" w:rsidTr="00975D18">
        <w:tc>
          <w:tcPr>
            <w:tcW w:w="720"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p>
        </w:tc>
        <w:tc>
          <w:tcPr>
            <w:tcW w:w="3357" w:type="dxa"/>
            <w:vAlign w:val="center"/>
          </w:tcPr>
          <w:p w:rsidR="00B20F47" w:rsidRPr="00B34368" w:rsidRDefault="00B20F47"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其中：债券</w:t>
            </w:r>
          </w:p>
        </w:tc>
        <w:tc>
          <w:tcPr>
            <w:tcW w:w="2694"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231,760,982.05</w:t>
            </w:r>
          </w:p>
        </w:tc>
        <w:tc>
          <w:tcPr>
            <w:tcW w:w="1757"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3.26</w:t>
            </w:r>
          </w:p>
        </w:tc>
      </w:tr>
      <w:tr w:rsidR="00D3639B" w:rsidRPr="00B34368" w:rsidTr="00975D18">
        <w:tc>
          <w:tcPr>
            <w:tcW w:w="720"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p>
        </w:tc>
        <w:tc>
          <w:tcPr>
            <w:tcW w:w="3357" w:type="dxa"/>
            <w:vAlign w:val="center"/>
          </w:tcPr>
          <w:p w:rsidR="00B20F47" w:rsidRPr="00B34368" w:rsidRDefault="00B20F47" w:rsidP="00B34368">
            <w:pPr>
              <w:autoSpaceDE w:val="0"/>
              <w:autoSpaceDN w:val="0"/>
              <w:adjustRightInd w:val="0"/>
              <w:spacing w:before="29" w:line="360" w:lineRule="auto"/>
              <w:ind w:left="17" w:firstLineChars="300" w:firstLine="720"/>
              <w:jc w:val="left"/>
              <w:rPr>
                <w:rFonts w:eastAsiaTheme="minorEastAsia"/>
                <w:color w:val="000000" w:themeColor="text1"/>
                <w:sz w:val="24"/>
              </w:rPr>
            </w:pPr>
            <w:r w:rsidRPr="00B34368">
              <w:rPr>
                <w:rFonts w:eastAsiaTheme="minorEastAsia" w:hAnsiTheme="minorEastAsia"/>
                <w:color w:val="000000" w:themeColor="text1"/>
                <w:sz w:val="24"/>
              </w:rPr>
              <w:t>资产支持证券</w:t>
            </w:r>
          </w:p>
        </w:tc>
        <w:tc>
          <w:tcPr>
            <w:tcW w:w="2694"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1757"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c>
          <w:tcPr>
            <w:tcW w:w="720" w:type="dxa"/>
          </w:tcPr>
          <w:p w:rsidR="00B007B6" w:rsidRPr="00B34368" w:rsidRDefault="00B007B6" w:rsidP="00DD272F">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4</w:t>
            </w:r>
          </w:p>
        </w:tc>
        <w:tc>
          <w:tcPr>
            <w:tcW w:w="3357" w:type="dxa"/>
          </w:tcPr>
          <w:p w:rsidR="00B007B6" w:rsidRPr="00B34368" w:rsidRDefault="00B007B6" w:rsidP="00DD272F">
            <w:pPr>
              <w:spacing w:before="29" w:line="360" w:lineRule="auto"/>
              <w:ind w:leftChars="50" w:left="105"/>
              <w:rPr>
                <w:rFonts w:eastAsiaTheme="minorEastAsia"/>
                <w:color w:val="000000" w:themeColor="text1"/>
                <w:sz w:val="24"/>
              </w:rPr>
            </w:pPr>
            <w:r w:rsidRPr="00B34368">
              <w:rPr>
                <w:rFonts w:eastAsiaTheme="minorEastAsia" w:hAnsiTheme="minorEastAsia"/>
                <w:color w:val="000000" w:themeColor="text1"/>
                <w:sz w:val="24"/>
              </w:rPr>
              <w:t>贵金属投资</w:t>
            </w:r>
          </w:p>
        </w:tc>
        <w:tc>
          <w:tcPr>
            <w:tcW w:w="2694" w:type="dxa"/>
            <w:vAlign w:val="center"/>
          </w:tcPr>
          <w:p w:rsidR="00B007B6" w:rsidRPr="00B34368" w:rsidRDefault="00B007B6" w:rsidP="00DD272F">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1757" w:type="dxa"/>
            <w:vAlign w:val="center"/>
          </w:tcPr>
          <w:p w:rsidR="00B007B6" w:rsidRPr="00B34368" w:rsidRDefault="00B007B6" w:rsidP="00DD272F">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c>
          <w:tcPr>
            <w:tcW w:w="720" w:type="dxa"/>
            <w:vAlign w:val="center"/>
          </w:tcPr>
          <w:p w:rsidR="00B007B6" w:rsidRPr="00B34368" w:rsidRDefault="00B007B6" w:rsidP="00A3193E">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5</w:t>
            </w:r>
          </w:p>
        </w:tc>
        <w:tc>
          <w:tcPr>
            <w:tcW w:w="3357" w:type="dxa"/>
            <w:vAlign w:val="center"/>
          </w:tcPr>
          <w:p w:rsidR="00B007B6" w:rsidRPr="00B34368" w:rsidRDefault="00B007B6"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金融衍生品投资</w:t>
            </w:r>
          </w:p>
        </w:tc>
        <w:tc>
          <w:tcPr>
            <w:tcW w:w="2694" w:type="dxa"/>
            <w:vAlign w:val="center"/>
          </w:tcPr>
          <w:p w:rsidR="00B007B6" w:rsidRPr="00B34368" w:rsidRDefault="00B007B6"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1757" w:type="dxa"/>
            <w:vAlign w:val="center"/>
          </w:tcPr>
          <w:p w:rsidR="00B007B6" w:rsidRPr="00B34368" w:rsidRDefault="00B007B6"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c>
          <w:tcPr>
            <w:tcW w:w="720" w:type="dxa"/>
            <w:vAlign w:val="center"/>
          </w:tcPr>
          <w:p w:rsidR="00B007B6" w:rsidRPr="00B34368" w:rsidRDefault="00B007B6" w:rsidP="00A3193E">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6</w:t>
            </w:r>
          </w:p>
        </w:tc>
        <w:tc>
          <w:tcPr>
            <w:tcW w:w="3357" w:type="dxa"/>
            <w:vAlign w:val="center"/>
          </w:tcPr>
          <w:p w:rsidR="00B007B6" w:rsidRPr="00B34368" w:rsidRDefault="00B007B6"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买入返售金融资产</w:t>
            </w:r>
          </w:p>
        </w:tc>
        <w:tc>
          <w:tcPr>
            <w:tcW w:w="2694" w:type="dxa"/>
            <w:vAlign w:val="center"/>
          </w:tcPr>
          <w:p w:rsidR="00B007B6" w:rsidRPr="00B34368" w:rsidRDefault="00B007B6"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1757" w:type="dxa"/>
            <w:vAlign w:val="center"/>
          </w:tcPr>
          <w:p w:rsidR="00B007B6" w:rsidRPr="00B34368" w:rsidRDefault="00B007B6"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c>
          <w:tcPr>
            <w:tcW w:w="720" w:type="dxa"/>
            <w:vAlign w:val="center"/>
          </w:tcPr>
          <w:p w:rsidR="00B007B6" w:rsidRPr="00B34368" w:rsidRDefault="00B007B6" w:rsidP="00A3193E">
            <w:pPr>
              <w:spacing w:before="29" w:line="360" w:lineRule="auto"/>
              <w:ind w:left="17"/>
              <w:jc w:val="center"/>
              <w:rPr>
                <w:rFonts w:eastAsiaTheme="minorEastAsia"/>
                <w:color w:val="000000" w:themeColor="text1"/>
                <w:sz w:val="24"/>
              </w:rPr>
            </w:pPr>
          </w:p>
        </w:tc>
        <w:tc>
          <w:tcPr>
            <w:tcW w:w="3357" w:type="dxa"/>
            <w:vAlign w:val="center"/>
          </w:tcPr>
          <w:p w:rsidR="00B007B6" w:rsidRPr="00B34368" w:rsidRDefault="00B007B6"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其中：买断式回购的买入返售金融资产</w:t>
            </w:r>
          </w:p>
        </w:tc>
        <w:tc>
          <w:tcPr>
            <w:tcW w:w="2694" w:type="dxa"/>
            <w:vAlign w:val="center"/>
          </w:tcPr>
          <w:p w:rsidR="00B007B6" w:rsidRPr="00B34368" w:rsidRDefault="00B007B6"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1757" w:type="dxa"/>
            <w:vAlign w:val="center"/>
          </w:tcPr>
          <w:p w:rsidR="00B007B6" w:rsidRPr="00B34368" w:rsidRDefault="00B007B6"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c>
          <w:tcPr>
            <w:tcW w:w="720" w:type="dxa"/>
            <w:vAlign w:val="center"/>
          </w:tcPr>
          <w:p w:rsidR="00B007B6" w:rsidRPr="00B34368" w:rsidRDefault="00B007B6" w:rsidP="00A3193E">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7</w:t>
            </w:r>
          </w:p>
        </w:tc>
        <w:tc>
          <w:tcPr>
            <w:tcW w:w="3357" w:type="dxa"/>
            <w:vAlign w:val="center"/>
          </w:tcPr>
          <w:p w:rsidR="00B007B6" w:rsidRPr="00B34368" w:rsidRDefault="00B007B6"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银行存款和结算备付金合计</w:t>
            </w:r>
          </w:p>
        </w:tc>
        <w:tc>
          <w:tcPr>
            <w:tcW w:w="2694" w:type="dxa"/>
            <w:vAlign w:val="center"/>
          </w:tcPr>
          <w:p w:rsidR="00B007B6" w:rsidRPr="00B34368" w:rsidRDefault="00B007B6"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228,873,138.70</w:t>
            </w:r>
          </w:p>
        </w:tc>
        <w:tc>
          <w:tcPr>
            <w:tcW w:w="1757" w:type="dxa"/>
            <w:vAlign w:val="center"/>
          </w:tcPr>
          <w:p w:rsidR="00B007B6" w:rsidRPr="00B34368" w:rsidRDefault="00B007B6"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3.22</w:t>
            </w:r>
          </w:p>
        </w:tc>
      </w:tr>
      <w:tr w:rsidR="00D3639B" w:rsidRPr="00B34368" w:rsidTr="00975D18">
        <w:tc>
          <w:tcPr>
            <w:tcW w:w="720" w:type="dxa"/>
            <w:vAlign w:val="center"/>
          </w:tcPr>
          <w:p w:rsidR="00B007B6" w:rsidRPr="00B34368" w:rsidRDefault="00B007B6" w:rsidP="00B007B6">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8</w:t>
            </w:r>
          </w:p>
        </w:tc>
        <w:tc>
          <w:tcPr>
            <w:tcW w:w="3357" w:type="dxa"/>
            <w:vAlign w:val="center"/>
          </w:tcPr>
          <w:p w:rsidR="00B007B6" w:rsidRPr="00B34368" w:rsidRDefault="00E57CD3" w:rsidP="00A3193E">
            <w:pPr>
              <w:jc w:val="left"/>
              <w:rPr>
                <w:rFonts w:eastAsiaTheme="minorEastAsia"/>
                <w:color w:val="000000" w:themeColor="text1"/>
                <w:sz w:val="24"/>
              </w:rPr>
            </w:pPr>
            <w:r>
              <w:rPr>
                <w:rFonts w:eastAsiaTheme="minorEastAsia" w:hAnsiTheme="minorEastAsia"/>
                <w:color w:val="000000" w:themeColor="text1"/>
                <w:sz w:val="24"/>
              </w:rPr>
              <w:t>其他</w:t>
            </w:r>
            <w:r w:rsidR="00B007B6" w:rsidRPr="00B34368">
              <w:rPr>
                <w:rFonts w:eastAsiaTheme="minorEastAsia" w:hAnsiTheme="minorEastAsia"/>
                <w:color w:val="000000" w:themeColor="text1"/>
                <w:sz w:val="24"/>
              </w:rPr>
              <w:t>资产</w:t>
            </w:r>
          </w:p>
        </w:tc>
        <w:tc>
          <w:tcPr>
            <w:tcW w:w="2694" w:type="dxa"/>
            <w:vAlign w:val="center"/>
          </w:tcPr>
          <w:p w:rsidR="00B007B6" w:rsidRPr="00B34368" w:rsidRDefault="00B007B6" w:rsidP="00A3193E">
            <w:pPr>
              <w:jc w:val="right"/>
              <w:rPr>
                <w:rFonts w:eastAsiaTheme="minorEastAsia"/>
                <w:color w:val="000000" w:themeColor="text1"/>
                <w:sz w:val="24"/>
              </w:rPr>
            </w:pPr>
            <w:r w:rsidRPr="00B34368">
              <w:rPr>
                <w:rFonts w:eastAsiaTheme="minorEastAsia"/>
                <w:color w:val="000000" w:themeColor="text1"/>
                <w:sz w:val="24"/>
              </w:rPr>
              <w:t>25,552,231.37</w:t>
            </w:r>
          </w:p>
        </w:tc>
        <w:tc>
          <w:tcPr>
            <w:tcW w:w="1757" w:type="dxa"/>
            <w:vAlign w:val="center"/>
          </w:tcPr>
          <w:p w:rsidR="00B007B6" w:rsidRPr="00B34368" w:rsidRDefault="00B007B6" w:rsidP="00A3193E">
            <w:pPr>
              <w:jc w:val="right"/>
              <w:rPr>
                <w:rFonts w:eastAsiaTheme="minorEastAsia"/>
                <w:color w:val="000000" w:themeColor="text1"/>
                <w:sz w:val="24"/>
              </w:rPr>
            </w:pPr>
            <w:r w:rsidRPr="00B34368">
              <w:rPr>
                <w:rFonts w:eastAsiaTheme="minorEastAsia"/>
                <w:color w:val="000000" w:themeColor="text1"/>
                <w:sz w:val="24"/>
              </w:rPr>
              <w:t>0.36</w:t>
            </w:r>
          </w:p>
        </w:tc>
      </w:tr>
      <w:tr w:rsidR="00D3639B" w:rsidRPr="00B34368" w:rsidTr="00975D18">
        <w:tc>
          <w:tcPr>
            <w:tcW w:w="720" w:type="dxa"/>
            <w:vAlign w:val="center"/>
          </w:tcPr>
          <w:p w:rsidR="00B007B6" w:rsidRPr="00B34368" w:rsidRDefault="00B007B6" w:rsidP="00B007B6">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9</w:t>
            </w:r>
          </w:p>
        </w:tc>
        <w:tc>
          <w:tcPr>
            <w:tcW w:w="3357" w:type="dxa"/>
            <w:vAlign w:val="center"/>
          </w:tcPr>
          <w:p w:rsidR="00B007B6" w:rsidRPr="00B34368" w:rsidRDefault="00B007B6" w:rsidP="00A3193E">
            <w:pPr>
              <w:jc w:val="left"/>
              <w:rPr>
                <w:rFonts w:eastAsiaTheme="minorEastAsia"/>
                <w:color w:val="000000" w:themeColor="text1"/>
                <w:sz w:val="24"/>
              </w:rPr>
            </w:pPr>
            <w:r w:rsidRPr="00B34368">
              <w:rPr>
                <w:rFonts w:eastAsiaTheme="minorEastAsia" w:hAnsiTheme="minorEastAsia"/>
                <w:color w:val="000000" w:themeColor="text1"/>
                <w:sz w:val="24"/>
              </w:rPr>
              <w:t>合计</w:t>
            </w:r>
          </w:p>
        </w:tc>
        <w:tc>
          <w:tcPr>
            <w:tcW w:w="2694" w:type="dxa"/>
            <w:vAlign w:val="center"/>
          </w:tcPr>
          <w:p w:rsidR="00B007B6" w:rsidRPr="00B34368" w:rsidRDefault="00B007B6" w:rsidP="00A3193E">
            <w:pPr>
              <w:jc w:val="right"/>
              <w:rPr>
                <w:rFonts w:eastAsiaTheme="minorEastAsia"/>
                <w:color w:val="000000" w:themeColor="text1"/>
                <w:sz w:val="24"/>
              </w:rPr>
            </w:pPr>
            <w:r w:rsidRPr="00B34368">
              <w:rPr>
                <w:rFonts w:eastAsiaTheme="minorEastAsia"/>
                <w:color w:val="000000" w:themeColor="text1"/>
                <w:sz w:val="24"/>
              </w:rPr>
              <w:t>7,113,998,448.00</w:t>
            </w:r>
          </w:p>
        </w:tc>
        <w:tc>
          <w:tcPr>
            <w:tcW w:w="1757" w:type="dxa"/>
            <w:vAlign w:val="center"/>
          </w:tcPr>
          <w:p w:rsidR="00B007B6" w:rsidRPr="00B34368" w:rsidRDefault="00B007B6" w:rsidP="00A3193E">
            <w:pPr>
              <w:jc w:val="right"/>
              <w:rPr>
                <w:rFonts w:eastAsiaTheme="minorEastAsia"/>
                <w:color w:val="000000" w:themeColor="text1"/>
                <w:sz w:val="24"/>
              </w:rPr>
            </w:pPr>
            <w:r w:rsidRPr="00B34368">
              <w:rPr>
                <w:rFonts w:eastAsiaTheme="minorEastAsia"/>
                <w:color w:val="000000" w:themeColor="text1"/>
                <w:sz w:val="24"/>
              </w:rPr>
              <w:t>100.00</w:t>
            </w:r>
          </w:p>
        </w:tc>
      </w:tr>
    </w:tbl>
    <w:p w:rsidR="0040218E" w:rsidRPr="00B34368" w:rsidRDefault="0040218E"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5.2</w:t>
      </w:r>
      <w:r w:rsidRPr="00B34368">
        <w:rPr>
          <w:rFonts w:eastAsiaTheme="minorEastAsia" w:hAnsiTheme="minorEastAsia"/>
          <w:b/>
          <w:color w:val="000000" w:themeColor="text1"/>
          <w:kern w:val="0"/>
          <w:sz w:val="24"/>
        </w:rPr>
        <w:t>期末投资目标基金明细</w:t>
      </w:r>
    </w:p>
    <w:tbl>
      <w:tblPr>
        <w:tblStyle w:val="af2"/>
        <w:tblW w:w="0" w:type="auto"/>
        <w:tblInd w:w="108" w:type="dxa"/>
        <w:tblLook w:val="04A0" w:firstRow="1" w:lastRow="0" w:firstColumn="1" w:lastColumn="0" w:noHBand="0" w:noVBand="1"/>
      </w:tblPr>
      <w:tblGrid>
        <w:gridCol w:w="1194"/>
        <w:gridCol w:w="1195"/>
        <w:gridCol w:w="1195"/>
        <w:gridCol w:w="1195"/>
        <w:gridCol w:w="1195"/>
        <w:gridCol w:w="1489"/>
        <w:gridCol w:w="1465"/>
      </w:tblGrid>
      <w:tr w:rsidR="00D3639B" w:rsidRPr="00B34368" w:rsidTr="00975D18">
        <w:tc>
          <w:tcPr>
            <w:tcW w:w="1215" w:type="dxa"/>
            <w:vAlign w:val="center"/>
          </w:tcPr>
          <w:p w:rsidR="0040218E" w:rsidRPr="00B34368" w:rsidRDefault="0040218E" w:rsidP="00782E9C">
            <w:pPr>
              <w:autoSpaceDE w:val="0"/>
              <w:autoSpaceDN w:val="0"/>
              <w:adjustRightInd w:val="0"/>
              <w:spacing w:before="29" w:line="360"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序号</w:t>
            </w:r>
          </w:p>
        </w:tc>
        <w:tc>
          <w:tcPr>
            <w:tcW w:w="1216" w:type="dxa"/>
            <w:vAlign w:val="center"/>
          </w:tcPr>
          <w:p w:rsidR="0040218E" w:rsidRPr="00B34368" w:rsidRDefault="0040218E" w:rsidP="00782E9C">
            <w:pPr>
              <w:autoSpaceDE w:val="0"/>
              <w:autoSpaceDN w:val="0"/>
              <w:adjustRightInd w:val="0"/>
              <w:spacing w:before="29" w:line="360"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基金名称</w:t>
            </w:r>
          </w:p>
        </w:tc>
        <w:tc>
          <w:tcPr>
            <w:tcW w:w="1216" w:type="dxa"/>
            <w:vAlign w:val="center"/>
          </w:tcPr>
          <w:p w:rsidR="0040218E" w:rsidRPr="00B34368" w:rsidRDefault="0040218E" w:rsidP="00782E9C">
            <w:pPr>
              <w:autoSpaceDE w:val="0"/>
              <w:autoSpaceDN w:val="0"/>
              <w:adjustRightInd w:val="0"/>
              <w:spacing w:before="29" w:line="360"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基金类型</w:t>
            </w:r>
          </w:p>
        </w:tc>
        <w:tc>
          <w:tcPr>
            <w:tcW w:w="1216" w:type="dxa"/>
            <w:vAlign w:val="center"/>
          </w:tcPr>
          <w:p w:rsidR="0040218E" w:rsidRPr="00B34368" w:rsidRDefault="0040218E" w:rsidP="00782E9C">
            <w:pPr>
              <w:autoSpaceDE w:val="0"/>
              <w:autoSpaceDN w:val="0"/>
              <w:adjustRightInd w:val="0"/>
              <w:spacing w:before="29" w:line="360"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运作方式</w:t>
            </w:r>
          </w:p>
        </w:tc>
        <w:tc>
          <w:tcPr>
            <w:tcW w:w="1216" w:type="dxa"/>
            <w:vAlign w:val="center"/>
          </w:tcPr>
          <w:p w:rsidR="0040218E" w:rsidRPr="00B34368" w:rsidRDefault="0040218E" w:rsidP="00782E9C">
            <w:pPr>
              <w:autoSpaceDE w:val="0"/>
              <w:autoSpaceDN w:val="0"/>
              <w:adjustRightInd w:val="0"/>
              <w:spacing w:before="29" w:line="360"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管理人</w:t>
            </w:r>
          </w:p>
        </w:tc>
        <w:tc>
          <w:tcPr>
            <w:tcW w:w="1217" w:type="dxa"/>
            <w:vAlign w:val="center"/>
          </w:tcPr>
          <w:p w:rsidR="0040218E" w:rsidRPr="00B34368" w:rsidRDefault="0040218E" w:rsidP="00782E9C">
            <w:pPr>
              <w:autoSpaceDE w:val="0"/>
              <w:autoSpaceDN w:val="0"/>
              <w:adjustRightInd w:val="0"/>
              <w:spacing w:before="29" w:line="360"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公允价值</w:t>
            </w:r>
            <w:r w:rsidR="00A22E07" w:rsidRPr="00B34368">
              <w:rPr>
                <w:rFonts w:eastAsiaTheme="minorEastAsia" w:hAnsiTheme="minorEastAsia"/>
                <w:color w:val="000000" w:themeColor="text1"/>
                <w:sz w:val="24"/>
              </w:rPr>
              <w:t>（元）</w:t>
            </w:r>
          </w:p>
        </w:tc>
        <w:tc>
          <w:tcPr>
            <w:tcW w:w="1217" w:type="dxa"/>
            <w:vAlign w:val="center"/>
          </w:tcPr>
          <w:p w:rsidR="0040218E" w:rsidRPr="00B34368" w:rsidRDefault="0040218E" w:rsidP="00782E9C">
            <w:pPr>
              <w:autoSpaceDE w:val="0"/>
              <w:autoSpaceDN w:val="0"/>
              <w:adjustRightInd w:val="0"/>
              <w:spacing w:before="29" w:line="360"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占基金资产净值比例（</w:t>
            </w:r>
            <w:r w:rsidRPr="00B34368">
              <w:rPr>
                <w:rFonts w:eastAsiaTheme="minorEastAsia"/>
                <w:color w:val="000000" w:themeColor="text1"/>
                <w:kern w:val="0"/>
                <w:sz w:val="24"/>
              </w:rPr>
              <w:t>%</w:t>
            </w:r>
            <w:r w:rsidRPr="00B34368">
              <w:rPr>
                <w:rFonts w:eastAsiaTheme="minorEastAsia" w:hAnsiTheme="minorEastAsia"/>
                <w:color w:val="000000" w:themeColor="text1"/>
                <w:kern w:val="0"/>
                <w:sz w:val="24"/>
              </w:rPr>
              <w:t>）</w:t>
            </w:r>
          </w:p>
        </w:tc>
      </w:tr>
      <w:tr w:rsidR="003C69C1">
        <w:tc>
          <w:tcPr>
            <w:tcW w:w="0" w:type="auto"/>
            <w:vAlign w:val="center"/>
          </w:tcPr>
          <w:p w:rsidR="003C69C1" w:rsidRDefault="008901F2">
            <w:pPr>
              <w:jc w:val="center"/>
            </w:pPr>
            <w:r>
              <w:rPr>
                <w:rFonts w:eastAsiaTheme="minorEastAsia"/>
                <w:color w:val="000000" w:themeColor="text1"/>
                <w:sz w:val="24"/>
              </w:rPr>
              <w:t>1</w:t>
            </w:r>
          </w:p>
        </w:tc>
        <w:tc>
          <w:tcPr>
            <w:tcW w:w="0" w:type="auto"/>
            <w:vAlign w:val="center"/>
          </w:tcPr>
          <w:p w:rsidR="003C69C1" w:rsidRDefault="008901F2">
            <w:pPr>
              <w:jc w:val="center"/>
            </w:pPr>
            <w:r>
              <w:rPr>
                <w:rFonts w:eastAsiaTheme="minorEastAsia"/>
                <w:color w:val="000000" w:themeColor="text1"/>
                <w:sz w:val="24"/>
              </w:rPr>
              <w:t>易方达沪深</w:t>
            </w:r>
            <w:r>
              <w:rPr>
                <w:rFonts w:eastAsiaTheme="minorEastAsia"/>
                <w:color w:val="000000" w:themeColor="text1"/>
                <w:sz w:val="24"/>
              </w:rPr>
              <w:t>300</w:t>
            </w:r>
            <w:r>
              <w:rPr>
                <w:rFonts w:eastAsiaTheme="minorEastAsia"/>
                <w:color w:val="000000" w:themeColor="text1"/>
                <w:sz w:val="24"/>
              </w:rPr>
              <w:t>交易型开放式指数发起式证券投资基金</w:t>
            </w:r>
          </w:p>
        </w:tc>
        <w:tc>
          <w:tcPr>
            <w:tcW w:w="0" w:type="auto"/>
            <w:vAlign w:val="center"/>
          </w:tcPr>
          <w:p w:rsidR="003C69C1" w:rsidRDefault="008901F2">
            <w:pPr>
              <w:jc w:val="center"/>
            </w:pPr>
            <w:r>
              <w:rPr>
                <w:rFonts w:eastAsiaTheme="minorEastAsia"/>
                <w:color w:val="000000" w:themeColor="text1"/>
                <w:sz w:val="24"/>
              </w:rPr>
              <w:t>股票型</w:t>
            </w:r>
          </w:p>
        </w:tc>
        <w:tc>
          <w:tcPr>
            <w:tcW w:w="0" w:type="auto"/>
            <w:vAlign w:val="center"/>
          </w:tcPr>
          <w:p w:rsidR="003C69C1" w:rsidRDefault="008901F2">
            <w:pPr>
              <w:jc w:val="center"/>
            </w:pPr>
            <w:r>
              <w:rPr>
                <w:rFonts w:eastAsiaTheme="minorEastAsia"/>
                <w:color w:val="000000" w:themeColor="text1"/>
                <w:sz w:val="24"/>
              </w:rPr>
              <w:t>交易型开放式（</w:t>
            </w:r>
            <w:r>
              <w:rPr>
                <w:rFonts w:eastAsiaTheme="minorEastAsia"/>
                <w:color w:val="000000" w:themeColor="text1"/>
                <w:sz w:val="24"/>
              </w:rPr>
              <w:t>ETF</w:t>
            </w:r>
            <w:r>
              <w:rPr>
                <w:rFonts w:eastAsiaTheme="minorEastAsia"/>
                <w:color w:val="000000" w:themeColor="text1"/>
                <w:sz w:val="24"/>
              </w:rPr>
              <w:t>）、发起式</w:t>
            </w:r>
          </w:p>
        </w:tc>
        <w:tc>
          <w:tcPr>
            <w:tcW w:w="0" w:type="auto"/>
            <w:vAlign w:val="center"/>
          </w:tcPr>
          <w:p w:rsidR="003C69C1" w:rsidRDefault="008901F2">
            <w:pPr>
              <w:jc w:val="center"/>
            </w:pPr>
            <w:r>
              <w:rPr>
                <w:rFonts w:eastAsiaTheme="minorEastAsia"/>
                <w:color w:val="000000" w:themeColor="text1"/>
                <w:sz w:val="24"/>
              </w:rPr>
              <w:t>易方达基金管理有限公司</w:t>
            </w:r>
          </w:p>
        </w:tc>
        <w:tc>
          <w:tcPr>
            <w:tcW w:w="0" w:type="auto"/>
            <w:vAlign w:val="center"/>
          </w:tcPr>
          <w:p w:rsidR="003C69C1" w:rsidRDefault="008901F2">
            <w:pPr>
              <w:jc w:val="right"/>
            </w:pPr>
            <w:r>
              <w:rPr>
                <w:rFonts w:eastAsiaTheme="minorEastAsia"/>
                <w:color w:val="000000" w:themeColor="text1"/>
                <w:sz w:val="24"/>
              </w:rPr>
              <w:t>6,586,728,551.80</w:t>
            </w:r>
          </w:p>
        </w:tc>
        <w:tc>
          <w:tcPr>
            <w:tcW w:w="0" w:type="auto"/>
            <w:vAlign w:val="center"/>
          </w:tcPr>
          <w:p w:rsidR="003C69C1" w:rsidRDefault="008901F2">
            <w:pPr>
              <w:jc w:val="right"/>
            </w:pPr>
            <w:r>
              <w:rPr>
                <w:rFonts w:eastAsiaTheme="minorEastAsia"/>
                <w:color w:val="000000" w:themeColor="text1"/>
                <w:sz w:val="24"/>
              </w:rPr>
              <w:t>93.98</w:t>
            </w:r>
          </w:p>
        </w:tc>
      </w:tr>
    </w:tbl>
    <w:p w:rsidR="0054389B" w:rsidRPr="00B34368" w:rsidRDefault="0054389B"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 xml:space="preserve">5.3 </w:t>
      </w:r>
      <w:r w:rsidRPr="00B34368">
        <w:rPr>
          <w:rFonts w:eastAsiaTheme="minorEastAsia" w:hAnsiTheme="minorEastAsia"/>
          <w:b/>
          <w:color w:val="000000" w:themeColor="text1"/>
          <w:kern w:val="0"/>
          <w:sz w:val="24"/>
        </w:rPr>
        <w:t>报告期末按行业分类的股票投资组合</w:t>
      </w:r>
    </w:p>
    <w:p w:rsidR="0054389B" w:rsidRPr="00B34368" w:rsidRDefault="0054389B" w:rsidP="0054389B">
      <w:pPr>
        <w:rPr>
          <w:rFonts w:eastAsiaTheme="minorEastAsia"/>
          <w:b/>
          <w:sz w:val="24"/>
        </w:rPr>
      </w:pPr>
      <w:r w:rsidRPr="00B34368">
        <w:rPr>
          <w:rFonts w:eastAsiaTheme="minorEastAsia"/>
          <w:b/>
          <w:color w:val="000000" w:themeColor="text1"/>
          <w:kern w:val="0"/>
          <w:sz w:val="24"/>
        </w:rPr>
        <w:t>5.3.1</w:t>
      </w:r>
      <w:r w:rsidRPr="00B34368">
        <w:rPr>
          <w:rFonts w:eastAsiaTheme="minorEastAsia" w:hAnsiTheme="minorEastAsia"/>
          <w:b/>
          <w:color w:val="000000" w:themeColor="text1"/>
          <w:kern w:val="0"/>
          <w:sz w:val="24"/>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3135"/>
        <w:gridCol w:w="1365"/>
      </w:tblGrid>
      <w:tr w:rsidR="00D3639B" w:rsidRPr="00B34368" w:rsidTr="00975D18">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hAnsiTheme="minorEastAsia"/>
                <w:color w:val="000000" w:themeColor="text1"/>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hAnsiTheme="minorEastAsia"/>
                <w:color w:val="000000" w:themeColor="text1"/>
                <w:sz w:val="24"/>
              </w:rPr>
              <w:t>行业类别</w:t>
            </w:r>
          </w:p>
        </w:tc>
        <w:tc>
          <w:tcPr>
            <w:tcW w:w="3135" w:type="dxa"/>
            <w:tcBorders>
              <w:top w:val="single" w:sz="4" w:space="0" w:color="000000"/>
              <w:left w:val="single" w:sz="4" w:space="0" w:color="auto"/>
              <w:bottom w:val="single" w:sz="4" w:space="0" w:color="000000"/>
              <w:right w:val="single" w:sz="4" w:space="0" w:color="000000"/>
            </w:tcBorders>
            <w:vAlign w:val="cente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hAnsiTheme="minorEastAsia"/>
                <w:color w:val="000000" w:themeColor="text1"/>
                <w:sz w:val="24"/>
              </w:rPr>
              <w:t>公允价值（元）</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hAnsiTheme="minorEastAsia"/>
                <w:color w:val="000000" w:themeColor="text1"/>
                <w:sz w:val="24"/>
              </w:rPr>
              <w:t>占基金资产净值比例（％）</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农、林、牧、渔业</w:t>
            </w:r>
          </w:p>
        </w:tc>
        <w:tc>
          <w:tcPr>
            <w:tcW w:w="3135" w:type="dxa"/>
            <w:tcBorders>
              <w:top w:val="single" w:sz="4" w:space="0" w:color="000000"/>
              <w:left w:val="single" w:sz="4" w:space="0" w:color="auto"/>
              <w:bottom w:val="single" w:sz="4" w:space="0" w:color="000000"/>
              <w:right w:val="single" w:sz="4" w:space="0" w:color="000000"/>
            </w:tcBorders>
            <w:vAlign w:val="center"/>
          </w:tcPr>
          <w:p w:rsidR="005F458B" w:rsidRPr="00B34368" w:rsidRDefault="005F458B" w:rsidP="00724F6D">
            <w:pPr>
              <w:autoSpaceDE w:val="0"/>
              <w:autoSpaceDN w:val="0"/>
              <w:adjustRightInd w:val="0"/>
              <w:spacing w:before="29" w:line="360" w:lineRule="auto"/>
              <w:ind w:left="15"/>
              <w:jc w:val="right"/>
              <w:rPr>
                <w:rFonts w:eastAsiaTheme="minorEastAsia"/>
                <w:color w:val="000000" w:themeColor="text1"/>
                <w:sz w:val="24"/>
              </w:rPr>
            </w:pPr>
            <w:r w:rsidRPr="00B34368">
              <w:rPr>
                <w:rFonts w:eastAsiaTheme="minorEastAsia"/>
                <w:color w:val="000000" w:themeColor="text1"/>
                <w:sz w:val="24"/>
              </w:rPr>
              <w:t>204,231.00</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B34368" w:rsidRDefault="005F458B" w:rsidP="00724F6D">
            <w:pPr>
              <w:autoSpaceDE w:val="0"/>
              <w:autoSpaceDN w:val="0"/>
              <w:adjustRightInd w:val="0"/>
              <w:spacing w:before="29" w:line="360" w:lineRule="auto"/>
              <w:ind w:left="15"/>
              <w:jc w:val="right"/>
              <w:rPr>
                <w:rFonts w:eastAsiaTheme="minorEastAsia"/>
                <w:color w:val="000000" w:themeColor="text1"/>
                <w:sz w:val="24"/>
              </w:rPr>
            </w:pPr>
            <w:r w:rsidRPr="00B34368">
              <w:rPr>
                <w:rFonts w:eastAsiaTheme="minorEastAsia"/>
                <w:color w:val="000000" w:themeColor="text1"/>
                <w:sz w:val="24"/>
              </w:rPr>
              <w:t>0.00</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采矿业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1,725,373.00</w:t>
            </w:r>
          </w:p>
          <w:p w:rsidR="005F458B" w:rsidRPr="00B34368" w:rsidRDefault="005F458B" w:rsidP="00724F6D">
            <w:pPr>
              <w:jc w:val="right"/>
              <w:rPr>
                <w:rFonts w:eastAsiaTheme="minorEastAsia"/>
                <w:color w:val="000000" w:themeColor="text1"/>
                <w:sz w:val="24"/>
              </w:rPr>
            </w:pP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0.02</w:t>
            </w:r>
          </w:p>
          <w:p w:rsidR="005F458B" w:rsidRPr="00B34368" w:rsidRDefault="005F458B" w:rsidP="00724F6D">
            <w:pPr>
              <w:jc w:val="right"/>
              <w:rPr>
                <w:rFonts w:eastAsiaTheme="minorEastAsia"/>
                <w:color w:val="000000" w:themeColor="text1"/>
                <w:sz w:val="24"/>
              </w:rPr>
            </w:pP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制造业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16,572,855.05</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0.24</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电力、热力、燃气及水生产和供应业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2,892,737.74</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0.04</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建筑业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946,736.00</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0.01</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批发和零售业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420,199.00</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0.01</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交通运输、仓储和邮政业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1,025,921.00</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0.01</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住宿和餐饮业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信息传输、软件和信息技术服务业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1,424,443.55</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0.02</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金融业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13,208,310.70</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0.19</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房地产业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1,570,567.00</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0.02</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租赁和商务服务业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415,826.00</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0.01</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科学研究和技术服务业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184,240.00</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0.00</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975D18">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水利、环境和公共设施管理业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48,378.04</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0.00</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975D18">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居民服务、修理和其他服务业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975D18">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教育</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975D18">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卫生和社会工作</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314,965.00</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0.00</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975D18">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文化、体育和娱乐业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128,761.00</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0.00</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975D18">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综合</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975D18">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合计</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41,083,544.08</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0.59</w:t>
            </w:r>
          </w:p>
        </w:tc>
      </w:tr>
    </w:tbl>
    <w:p w:rsidR="009238DB" w:rsidRPr="00B34368" w:rsidRDefault="009238DB"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5.</w:t>
      </w:r>
      <w:r w:rsidR="0040218E" w:rsidRPr="00B34368">
        <w:rPr>
          <w:rFonts w:eastAsiaTheme="minorEastAsia"/>
          <w:b/>
          <w:color w:val="000000" w:themeColor="text1"/>
          <w:kern w:val="0"/>
          <w:sz w:val="24"/>
        </w:rPr>
        <w:t>4</w:t>
      </w:r>
      <w:r w:rsidRPr="00B34368">
        <w:rPr>
          <w:rFonts w:eastAsiaTheme="minorEastAsia"/>
          <w:b/>
          <w:color w:val="000000" w:themeColor="text1"/>
          <w:kern w:val="0"/>
          <w:sz w:val="24"/>
        </w:rPr>
        <w:t xml:space="preserve"> </w:t>
      </w:r>
      <w:r w:rsidRPr="00B34368">
        <w:rPr>
          <w:rFonts w:eastAsiaTheme="minorEastAsia" w:hAnsiTheme="minorEastAsia"/>
          <w:b/>
          <w:color w:val="000000" w:themeColor="text1"/>
          <w:kern w:val="0"/>
          <w:sz w:val="24"/>
        </w:rPr>
        <w:t>报告期末按公允价值占基金资产净值比例大小排序的前十名股票投资明细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D3639B" w:rsidRPr="00B34368" w:rsidTr="00975D18">
        <w:tc>
          <w:tcPr>
            <w:tcW w:w="817" w:type="dxa"/>
            <w:vAlign w:val="center"/>
          </w:tcPr>
          <w:p w:rsidR="000871DB" w:rsidRPr="00B34368" w:rsidRDefault="000871DB" w:rsidP="000871DB">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序号</w:t>
            </w:r>
          </w:p>
        </w:tc>
        <w:tc>
          <w:tcPr>
            <w:tcW w:w="1276" w:type="dxa"/>
            <w:vAlign w:val="center"/>
          </w:tcPr>
          <w:p w:rsidR="000871DB" w:rsidRPr="00B34368" w:rsidRDefault="000871DB" w:rsidP="000871DB">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股票代码</w:t>
            </w:r>
          </w:p>
        </w:tc>
        <w:tc>
          <w:tcPr>
            <w:tcW w:w="1701" w:type="dxa"/>
            <w:vAlign w:val="center"/>
          </w:tcPr>
          <w:p w:rsidR="000871DB" w:rsidRPr="00B34368" w:rsidRDefault="000871DB" w:rsidP="000871DB">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股票名称</w:t>
            </w:r>
          </w:p>
        </w:tc>
        <w:tc>
          <w:tcPr>
            <w:tcW w:w="1276" w:type="dxa"/>
            <w:vAlign w:val="center"/>
          </w:tcPr>
          <w:p w:rsidR="000871DB" w:rsidRPr="00B34368" w:rsidRDefault="000871DB" w:rsidP="000871DB">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数量</w:t>
            </w:r>
            <w:r w:rsidRPr="00B34368">
              <w:rPr>
                <w:rFonts w:eastAsiaTheme="minorEastAsia"/>
                <w:color w:val="000000" w:themeColor="text1"/>
                <w:sz w:val="24"/>
              </w:rPr>
              <w:t>(</w:t>
            </w:r>
            <w:r w:rsidRPr="00B34368">
              <w:rPr>
                <w:rFonts w:eastAsiaTheme="minorEastAsia" w:hAnsiTheme="minorEastAsia"/>
                <w:color w:val="000000" w:themeColor="text1"/>
                <w:sz w:val="24"/>
              </w:rPr>
              <w:t>股</w:t>
            </w:r>
            <w:r w:rsidRPr="00B34368">
              <w:rPr>
                <w:rFonts w:eastAsiaTheme="minorEastAsia"/>
                <w:color w:val="000000" w:themeColor="text1"/>
                <w:sz w:val="24"/>
              </w:rPr>
              <w:t>)</w:t>
            </w:r>
          </w:p>
        </w:tc>
        <w:tc>
          <w:tcPr>
            <w:tcW w:w="1842" w:type="dxa"/>
            <w:vAlign w:val="center"/>
          </w:tcPr>
          <w:p w:rsidR="000871DB" w:rsidRPr="00B34368" w:rsidRDefault="000871DB" w:rsidP="000871DB">
            <w:pPr>
              <w:autoSpaceDE w:val="0"/>
              <w:autoSpaceDN w:val="0"/>
              <w:adjustRightInd w:val="0"/>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公允价值</w:t>
            </w:r>
            <w:r w:rsidRPr="00B34368">
              <w:rPr>
                <w:rFonts w:eastAsiaTheme="minorEastAsia"/>
                <w:color w:val="000000" w:themeColor="text1"/>
                <w:sz w:val="24"/>
              </w:rPr>
              <w:t>(</w:t>
            </w:r>
            <w:r w:rsidRPr="00B34368">
              <w:rPr>
                <w:rFonts w:eastAsiaTheme="minorEastAsia" w:hAnsiTheme="minorEastAsia"/>
                <w:color w:val="000000" w:themeColor="text1"/>
                <w:sz w:val="24"/>
              </w:rPr>
              <w:t>元</w:t>
            </w:r>
            <w:r w:rsidRPr="00B34368">
              <w:rPr>
                <w:rFonts w:eastAsiaTheme="minorEastAsia"/>
                <w:color w:val="000000" w:themeColor="text1"/>
                <w:sz w:val="24"/>
              </w:rPr>
              <w:t>)</w:t>
            </w:r>
          </w:p>
        </w:tc>
        <w:tc>
          <w:tcPr>
            <w:tcW w:w="1616" w:type="dxa"/>
            <w:vAlign w:val="center"/>
          </w:tcPr>
          <w:p w:rsidR="000871DB" w:rsidRPr="00B34368" w:rsidRDefault="000871DB" w:rsidP="000871DB">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占基金资产净值比例</w:t>
            </w:r>
            <w:r w:rsidRPr="00B34368">
              <w:rPr>
                <w:rFonts w:eastAsiaTheme="minorEastAsia"/>
                <w:color w:val="000000" w:themeColor="text1"/>
                <w:sz w:val="24"/>
              </w:rPr>
              <w:t>(</w:t>
            </w:r>
            <w:r w:rsidRPr="00B34368">
              <w:rPr>
                <w:rFonts w:eastAsiaTheme="minorEastAsia" w:hAnsiTheme="minorEastAsia"/>
                <w:color w:val="000000" w:themeColor="text1"/>
                <w:sz w:val="24"/>
              </w:rPr>
              <w:t>％</w:t>
            </w:r>
            <w:r w:rsidRPr="00B34368">
              <w:rPr>
                <w:rFonts w:eastAsiaTheme="minorEastAsia"/>
                <w:color w:val="000000" w:themeColor="text1"/>
                <w:sz w:val="24"/>
              </w:rPr>
              <w:t>)</w:t>
            </w:r>
          </w:p>
        </w:tc>
      </w:tr>
      <w:tr w:rsidR="003C69C1">
        <w:tc>
          <w:tcPr>
            <w:tcW w:w="0" w:type="auto"/>
            <w:vAlign w:val="center"/>
          </w:tcPr>
          <w:p w:rsidR="003C69C1" w:rsidRDefault="008901F2">
            <w:pPr>
              <w:jc w:val="center"/>
            </w:pPr>
            <w:r>
              <w:rPr>
                <w:rFonts w:eastAsiaTheme="minorEastAsia"/>
                <w:color w:val="000000" w:themeColor="text1"/>
                <w:sz w:val="24"/>
              </w:rPr>
              <w:t>1</w:t>
            </w:r>
          </w:p>
        </w:tc>
        <w:tc>
          <w:tcPr>
            <w:tcW w:w="0" w:type="auto"/>
            <w:vAlign w:val="center"/>
          </w:tcPr>
          <w:p w:rsidR="003C69C1" w:rsidRDefault="008901F2">
            <w:pPr>
              <w:jc w:val="center"/>
            </w:pPr>
            <w:r>
              <w:rPr>
                <w:rFonts w:eastAsiaTheme="minorEastAsia"/>
                <w:color w:val="000000" w:themeColor="text1"/>
                <w:sz w:val="24"/>
              </w:rPr>
              <w:t>601318</w:t>
            </w:r>
          </w:p>
        </w:tc>
        <w:tc>
          <w:tcPr>
            <w:tcW w:w="0" w:type="auto"/>
            <w:vAlign w:val="center"/>
          </w:tcPr>
          <w:p w:rsidR="003C69C1" w:rsidRDefault="008901F2">
            <w:pPr>
              <w:jc w:val="center"/>
            </w:pPr>
            <w:r>
              <w:rPr>
                <w:rFonts w:eastAsiaTheme="minorEastAsia"/>
                <w:color w:val="000000" w:themeColor="text1"/>
                <w:sz w:val="24"/>
              </w:rPr>
              <w:t>中国平安</w:t>
            </w:r>
          </w:p>
        </w:tc>
        <w:tc>
          <w:tcPr>
            <w:tcW w:w="0" w:type="auto"/>
            <w:vAlign w:val="center"/>
          </w:tcPr>
          <w:p w:rsidR="003C69C1" w:rsidRDefault="008901F2">
            <w:pPr>
              <w:jc w:val="right"/>
            </w:pPr>
            <w:r>
              <w:rPr>
                <w:rFonts w:eastAsiaTheme="minorEastAsia"/>
                <w:color w:val="000000" w:themeColor="text1"/>
                <w:sz w:val="24"/>
              </w:rPr>
              <w:t>29,000</w:t>
            </w:r>
          </w:p>
        </w:tc>
        <w:tc>
          <w:tcPr>
            <w:tcW w:w="0" w:type="auto"/>
            <w:vAlign w:val="center"/>
          </w:tcPr>
          <w:p w:rsidR="003C69C1" w:rsidRDefault="008901F2">
            <w:pPr>
              <w:jc w:val="right"/>
            </w:pPr>
            <w:r>
              <w:rPr>
                <w:rFonts w:eastAsiaTheme="minorEastAsia"/>
                <w:color w:val="000000" w:themeColor="text1"/>
                <w:sz w:val="24"/>
              </w:rPr>
              <w:t>2,478,340.00</w:t>
            </w:r>
          </w:p>
        </w:tc>
        <w:tc>
          <w:tcPr>
            <w:tcW w:w="0" w:type="auto"/>
            <w:vAlign w:val="center"/>
          </w:tcPr>
          <w:p w:rsidR="003C69C1" w:rsidRDefault="008901F2">
            <w:pPr>
              <w:jc w:val="right"/>
            </w:pPr>
            <w:r>
              <w:rPr>
                <w:rFonts w:eastAsiaTheme="minorEastAsia"/>
                <w:color w:val="000000" w:themeColor="text1"/>
                <w:sz w:val="24"/>
              </w:rPr>
              <w:t>0.04</w:t>
            </w:r>
          </w:p>
        </w:tc>
      </w:tr>
      <w:tr w:rsidR="003C69C1">
        <w:tc>
          <w:tcPr>
            <w:tcW w:w="0" w:type="auto"/>
            <w:vAlign w:val="center"/>
          </w:tcPr>
          <w:p w:rsidR="003C69C1" w:rsidRDefault="008901F2">
            <w:pPr>
              <w:jc w:val="center"/>
            </w:pPr>
            <w:r>
              <w:rPr>
                <w:rFonts w:eastAsiaTheme="minorEastAsia"/>
                <w:color w:val="000000" w:themeColor="text1"/>
                <w:sz w:val="24"/>
              </w:rPr>
              <w:t>2</w:t>
            </w:r>
          </w:p>
        </w:tc>
        <w:tc>
          <w:tcPr>
            <w:tcW w:w="0" w:type="auto"/>
            <w:vAlign w:val="center"/>
          </w:tcPr>
          <w:p w:rsidR="003C69C1" w:rsidRDefault="008901F2">
            <w:pPr>
              <w:jc w:val="center"/>
            </w:pPr>
            <w:r>
              <w:rPr>
                <w:rFonts w:eastAsiaTheme="minorEastAsia"/>
                <w:color w:val="000000" w:themeColor="text1"/>
                <w:sz w:val="24"/>
              </w:rPr>
              <w:t>003816</w:t>
            </w:r>
          </w:p>
        </w:tc>
        <w:tc>
          <w:tcPr>
            <w:tcW w:w="0" w:type="auto"/>
            <w:vAlign w:val="center"/>
          </w:tcPr>
          <w:p w:rsidR="003C69C1" w:rsidRDefault="008901F2">
            <w:pPr>
              <w:jc w:val="center"/>
            </w:pPr>
            <w:r>
              <w:rPr>
                <w:rFonts w:eastAsiaTheme="minorEastAsia"/>
                <w:color w:val="000000" w:themeColor="text1"/>
                <w:sz w:val="24"/>
              </w:rPr>
              <w:t>中国广核</w:t>
            </w:r>
          </w:p>
        </w:tc>
        <w:tc>
          <w:tcPr>
            <w:tcW w:w="0" w:type="auto"/>
            <w:vAlign w:val="center"/>
          </w:tcPr>
          <w:p w:rsidR="003C69C1" w:rsidRDefault="008901F2">
            <w:pPr>
              <w:jc w:val="right"/>
            </w:pPr>
            <w:r>
              <w:rPr>
                <w:rFonts w:eastAsiaTheme="minorEastAsia"/>
                <w:color w:val="000000" w:themeColor="text1"/>
                <w:sz w:val="24"/>
              </w:rPr>
              <w:t>562,958</w:t>
            </w:r>
          </w:p>
        </w:tc>
        <w:tc>
          <w:tcPr>
            <w:tcW w:w="0" w:type="auto"/>
            <w:vAlign w:val="center"/>
          </w:tcPr>
          <w:p w:rsidR="003C69C1" w:rsidRDefault="008901F2">
            <w:pPr>
              <w:jc w:val="right"/>
            </w:pPr>
            <w:r>
              <w:rPr>
                <w:rFonts w:eastAsiaTheme="minorEastAsia"/>
                <w:color w:val="000000" w:themeColor="text1"/>
                <w:sz w:val="24"/>
              </w:rPr>
              <w:t>1,987,241.74</w:t>
            </w:r>
          </w:p>
        </w:tc>
        <w:tc>
          <w:tcPr>
            <w:tcW w:w="0" w:type="auto"/>
            <w:vAlign w:val="center"/>
          </w:tcPr>
          <w:p w:rsidR="003C69C1" w:rsidRDefault="008901F2">
            <w:pPr>
              <w:jc w:val="right"/>
            </w:pPr>
            <w:r>
              <w:rPr>
                <w:rFonts w:eastAsiaTheme="minorEastAsia"/>
                <w:color w:val="000000" w:themeColor="text1"/>
                <w:sz w:val="24"/>
              </w:rPr>
              <w:t>0.03</w:t>
            </w:r>
          </w:p>
        </w:tc>
      </w:tr>
      <w:tr w:rsidR="003C69C1">
        <w:tc>
          <w:tcPr>
            <w:tcW w:w="0" w:type="auto"/>
            <w:vAlign w:val="center"/>
          </w:tcPr>
          <w:p w:rsidR="003C69C1" w:rsidRDefault="008901F2">
            <w:pPr>
              <w:jc w:val="center"/>
            </w:pPr>
            <w:r>
              <w:rPr>
                <w:rFonts w:eastAsiaTheme="minorEastAsia"/>
                <w:color w:val="000000" w:themeColor="text1"/>
                <w:sz w:val="24"/>
              </w:rPr>
              <w:t>3</w:t>
            </w:r>
          </w:p>
        </w:tc>
        <w:tc>
          <w:tcPr>
            <w:tcW w:w="0" w:type="auto"/>
            <w:vAlign w:val="center"/>
          </w:tcPr>
          <w:p w:rsidR="003C69C1" w:rsidRDefault="008901F2">
            <w:pPr>
              <w:jc w:val="center"/>
            </w:pPr>
            <w:r>
              <w:rPr>
                <w:rFonts w:eastAsiaTheme="minorEastAsia"/>
                <w:color w:val="000000" w:themeColor="text1"/>
                <w:sz w:val="24"/>
              </w:rPr>
              <w:t>601916</w:t>
            </w:r>
          </w:p>
        </w:tc>
        <w:tc>
          <w:tcPr>
            <w:tcW w:w="0" w:type="auto"/>
            <w:vAlign w:val="center"/>
          </w:tcPr>
          <w:p w:rsidR="003C69C1" w:rsidRDefault="008901F2">
            <w:pPr>
              <w:jc w:val="center"/>
            </w:pPr>
            <w:r>
              <w:rPr>
                <w:rFonts w:eastAsiaTheme="minorEastAsia"/>
                <w:color w:val="000000" w:themeColor="text1"/>
                <w:sz w:val="24"/>
              </w:rPr>
              <w:t>浙商银行</w:t>
            </w:r>
          </w:p>
        </w:tc>
        <w:tc>
          <w:tcPr>
            <w:tcW w:w="0" w:type="auto"/>
            <w:vAlign w:val="center"/>
          </w:tcPr>
          <w:p w:rsidR="003C69C1" w:rsidRDefault="008901F2">
            <w:pPr>
              <w:jc w:val="right"/>
            </w:pPr>
            <w:r>
              <w:rPr>
                <w:rFonts w:eastAsiaTheme="minorEastAsia"/>
                <w:color w:val="000000" w:themeColor="text1"/>
                <w:sz w:val="24"/>
              </w:rPr>
              <w:t>294,195</w:t>
            </w:r>
          </w:p>
        </w:tc>
        <w:tc>
          <w:tcPr>
            <w:tcW w:w="0" w:type="auto"/>
            <w:vAlign w:val="center"/>
          </w:tcPr>
          <w:p w:rsidR="003C69C1" w:rsidRDefault="008901F2">
            <w:pPr>
              <w:jc w:val="right"/>
            </w:pPr>
            <w:r>
              <w:rPr>
                <w:rFonts w:eastAsiaTheme="minorEastAsia"/>
                <w:color w:val="000000" w:themeColor="text1"/>
                <w:sz w:val="24"/>
              </w:rPr>
              <w:t>1,370,948.70</w:t>
            </w:r>
          </w:p>
        </w:tc>
        <w:tc>
          <w:tcPr>
            <w:tcW w:w="0" w:type="auto"/>
            <w:vAlign w:val="center"/>
          </w:tcPr>
          <w:p w:rsidR="003C69C1" w:rsidRDefault="008901F2">
            <w:pPr>
              <w:jc w:val="right"/>
            </w:pPr>
            <w:r>
              <w:rPr>
                <w:rFonts w:eastAsiaTheme="minorEastAsia"/>
                <w:color w:val="000000" w:themeColor="text1"/>
                <w:sz w:val="24"/>
              </w:rPr>
              <w:t>0.02</w:t>
            </w:r>
          </w:p>
        </w:tc>
      </w:tr>
      <w:tr w:rsidR="003C69C1">
        <w:tc>
          <w:tcPr>
            <w:tcW w:w="0" w:type="auto"/>
            <w:vAlign w:val="center"/>
          </w:tcPr>
          <w:p w:rsidR="003C69C1" w:rsidRDefault="008901F2">
            <w:pPr>
              <w:jc w:val="center"/>
            </w:pPr>
            <w:r>
              <w:rPr>
                <w:rFonts w:eastAsiaTheme="minorEastAsia"/>
                <w:color w:val="000000" w:themeColor="text1"/>
                <w:sz w:val="24"/>
              </w:rPr>
              <w:t>4</w:t>
            </w:r>
          </w:p>
        </w:tc>
        <w:tc>
          <w:tcPr>
            <w:tcW w:w="0" w:type="auto"/>
            <w:vAlign w:val="center"/>
          </w:tcPr>
          <w:p w:rsidR="003C69C1" w:rsidRDefault="008901F2">
            <w:pPr>
              <w:jc w:val="center"/>
            </w:pPr>
            <w:r>
              <w:rPr>
                <w:rFonts w:eastAsiaTheme="minorEastAsia"/>
                <w:color w:val="000000" w:themeColor="text1"/>
                <w:sz w:val="24"/>
              </w:rPr>
              <w:t>600519</w:t>
            </w:r>
          </w:p>
        </w:tc>
        <w:tc>
          <w:tcPr>
            <w:tcW w:w="0" w:type="auto"/>
            <w:vAlign w:val="center"/>
          </w:tcPr>
          <w:p w:rsidR="003C69C1" w:rsidRDefault="008901F2">
            <w:pPr>
              <w:jc w:val="center"/>
            </w:pPr>
            <w:r>
              <w:rPr>
                <w:rFonts w:eastAsiaTheme="minorEastAsia"/>
                <w:color w:val="000000" w:themeColor="text1"/>
                <w:sz w:val="24"/>
              </w:rPr>
              <w:t>贵州茅台</w:t>
            </w:r>
          </w:p>
        </w:tc>
        <w:tc>
          <w:tcPr>
            <w:tcW w:w="0" w:type="auto"/>
            <w:vAlign w:val="center"/>
          </w:tcPr>
          <w:p w:rsidR="003C69C1" w:rsidRDefault="008901F2">
            <w:pPr>
              <w:jc w:val="right"/>
            </w:pPr>
            <w:r>
              <w:rPr>
                <w:rFonts w:eastAsiaTheme="minorEastAsia"/>
                <w:color w:val="000000" w:themeColor="text1"/>
                <w:sz w:val="24"/>
              </w:rPr>
              <w:t>1,077</w:t>
            </w:r>
          </w:p>
        </w:tc>
        <w:tc>
          <w:tcPr>
            <w:tcW w:w="0" w:type="auto"/>
            <w:vAlign w:val="center"/>
          </w:tcPr>
          <w:p w:rsidR="003C69C1" w:rsidRDefault="008901F2">
            <w:pPr>
              <w:jc w:val="right"/>
            </w:pPr>
            <w:r>
              <w:rPr>
                <w:rFonts w:eastAsiaTheme="minorEastAsia"/>
                <w:color w:val="000000" w:themeColor="text1"/>
                <w:sz w:val="24"/>
              </w:rPr>
              <w:t>1,274,091.00</w:t>
            </w:r>
          </w:p>
        </w:tc>
        <w:tc>
          <w:tcPr>
            <w:tcW w:w="0" w:type="auto"/>
            <w:vAlign w:val="center"/>
          </w:tcPr>
          <w:p w:rsidR="003C69C1" w:rsidRDefault="008901F2">
            <w:pPr>
              <w:jc w:val="right"/>
            </w:pPr>
            <w:r>
              <w:rPr>
                <w:rFonts w:eastAsiaTheme="minorEastAsia"/>
                <w:color w:val="000000" w:themeColor="text1"/>
                <w:sz w:val="24"/>
              </w:rPr>
              <w:t>0.02</w:t>
            </w:r>
          </w:p>
        </w:tc>
      </w:tr>
      <w:tr w:rsidR="003C69C1">
        <w:tc>
          <w:tcPr>
            <w:tcW w:w="0" w:type="auto"/>
            <w:vAlign w:val="center"/>
          </w:tcPr>
          <w:p w:rsidR="003C69C1" w:rsidRDefault="008901F2">
            <w:pPr>
              <w:jc w:val="center"/>
            </w:pPr>
            <w:r>
              <w:rPr>
                <w:rFonts w:eastAsiaTheme="minorEastAsia"/>
                <w:color w:val="000000" w:themeColor="text1"/>
                <w:sz w:val="24"/>
              </w:rPr>
              <w:t>5</w:t>
            </w:r>
          </w:p>
        </w:tc>
        <w:tc>
          <w:tcPr>
            <w:tcW w:w="0" w:type="auto"/>
            <w:vAlign w:val="center"/>
          </w:tcPr>
          <w:p w:rsidR="003C69C1" w:rsidRDefault="008901F2">
            <w:pPr>
              <w:jc w:val="center"/>
            </w:pPr>
            <w:r>
              <w:rPr>
                <w:rFonts w:eastAsiaTheme="minorEastAsia"/>
                <w:color w:val="000000" w:themeColor="text1"/>
                <w:sz w:val="24"/>
              </w:rPr>
              <w:t>600036</w:t>
            </w:r>
          </w:p>
        </w:tc>
        <w:tc>
          <w:tcPr>
            <w:tcW w:w="0" w:type="auto"/>
            <w:vAlign w:val="center"/>
          </w:tcPr>
          <w:p w:rsidR="003C69C1" w:rsidRDefault="008901F2">
            <w:pPr>
              <w:jc w:val="center"/>
            </w:pPr>
            <w:r>
              <w:rPr>
                <w:rFonts w:eastAsiaTheme="minorEastAsia"/>
                <w:color w:val="000000" w:themeColor="text1"/>
                <w:sz w:val="24"/>
              </w:rPr>
              <w:t>招商银行</w:t>
            </w:r>
          </w:p>
        </w:tc>
        <w:tc>
          <w:tcPr>
            <w:tcW w:w="0" w:type="auto"/>
            <w:vAlign w:val="center"/>
          </w:tcPr>
          <w:p w:rsidR="003C69C1" w:rsidRDefault="008901F2">
            <w:pPr>
              <w:jc w:val="right"/>
            </w:pPr>
            <w:r>
              <w:rPr>
                <w:rFonts w:eastAsiaTheme="minorEastAsia"/>
                <w:color w:val="000000" w:themeColor="text1"/>
                <w:sz w:val="24"/>
              </w:rPr>
              <w:t>27,000</w:t>
            </w:r>
          </w:p>
        </w:tc>
        <w:tc>
          <w:tcPr>
            <w:tcW w:w="0" w:type="auto"/>
            <w:vAlign w:val="center"/>
          </w:tcPr>
          <w:p w:rsidR="003C69C1" w:rsidRDefault="008901F2">
            <w:pPr>
              <w:jc w:val="right"/>
            </w:pPr>
            <w:r>
              <w:rPr>
                <w:rFonts w:eastAsiaTheme="minorEastAsia"/>
                <w:color w:val="000000" w:themeColor="text1"/>
                <w:sz w:val="24"/>
              </w:rPr>
              <w:t>1,014,660.00</w:t>
            </w:r>
          </w:p>
        </w:tc>
        <w:tc>
          <w:tcPr>
            <w:tcW w:w="0" w:type="auto"/>
            <w:vAlign w:val="center"/>
          </w:tcPr>
          <w:p w:rsidR="003C69C1" w:rsidRDefault="008901F2">
            <w:pPr>
              <w:jc w:val="right"/>
            </w:pPr>
            <w:r>
              <w:rPr>
                <w:rFonts w:eastAsiaTheme="minorEastAsia"/>
                <w:color w:val="000000" w:themeColor="text1"/>
                <w:sz w:val="24"/>
              </w:rPr>
              <w:t>0.01</w:t>
            </w:r>
          </w:p>
        </w:tc>
      </w:tr>
      <w:tr w:rsidR="003C69C1">
        <w:tc>
          <w:tcPr>
            <w:tcW w:w="0" w:type="auto"/>
            <w:vAlign w:val="center"/>
          </w:tcPr>
          <w:p w:rsidR="003C69C1" w:rsidRDefault="008901F2">
            <w:pPr>
              <w:jc w:val="center"/>
            </w:pPr>
            <w:r>
              <w:rPr>
                <w:rFonts w:eastAsiaTheme="minorEastAsia"/>
                <w:color w:val="000000" w:themeColor="text1"/>
                <w:sz w:val="24"/>
              </w:rPr>
              <w:t>6</w:t>
            </w:r>
          </w:p>
        </w:tc>
        <w:tc>
          <w:tcPr>
            <w:tcW w:w="0" w:type="auto"/>
            <w:vAlign w:val="center"/>
          </w:tcPr>
          <w:p w:rsidR="003C69C1" w:rsidRDefault="008901F2">
            <w:pPr>
              <w:jc w:val="center"/>
            </w:pPr>
            <w:r>
              <w:rPr>
                <w:rFonts w:eastAsiaTheme="minorEastAsia"/>
                <w:color w:val="000000" w:themeColor="text1"/>
                <w:sz w:val="24"/>
              </w:rPr>
              <w:t>000651</w:t>
            </w:r>
          </w:p>
        </w:tc>
        <w:tc>
          <w:tcPr>
            <w:tcW w:w="0" w:type="auto"/>
            <w:vAlign w:val="center"/>
          </w:tcPr>
          <w:p w:rsidR="003C69C1" w:rsidRDefault="008901F2">
            <w:pPr>
              <w:jc w:val="center"/>
            </w:pPr>
            <w:r>
              <w:rPr>
                <w:rFonts w:eastAsiaTheme="minorEastAsia"/>
                <w:color w:val="000000" w:themeColor="text1"/>
                <w:sz w:val="24"/>
              </w:rPr>
              <w:t>格力电器</w:t>
            </w:r>
          </w:p>
        </w:tc>
        <w:tc>
          <w:tcPr>
            <w:tcW w:w="0" w:type="auto"/>
            <w:vAlign w:val="center"/>
          </w:tcPr>
          <w:p w:rsidR="003C69C1" w:rsidRDefault="008901F2">
            <w:pPr>
              <w:jc w:val="right"/>
            </w:pPr>
            <w:r>
              <w:rPr>
                <w:rFonts w:eastAsiaTheme="minorEastAsia"/>
                <w:color w:val="000000" w:themeColor="text1"/>
                <w:sz w:val="24"/>
              </w:rPr>
              <w:t>13,700</w:t>
            </w:r>
          </w:p>
        </w:tc>
        <w:tc>
          <w:tcPr>
            <w:tcW w:w="0" w:type="auto"/>
            <w:vAlign w:val="center"/>
          </w:tcPr>
          <w:p w:rsidR="003C69C1" w:rsidRDefault="008901F2">
            <w:pPr>
              <w:jc w:val="right"/>
            </w:pPr>
            <w:r>
              <w:rPr>
                <w:rFonts w:eastAsiaTheme="minorEastAsia"/>
                <w:color w:val="000000" w:themeColor="text1"/>
                <w:sz w:val="24"/>
              </w:rPr>
              <w:t>898,446.00</w:t>
            </w:r>
          </w:p>
        </w:tc>
        <w:tc>
          <w:tcPr>
            <w:tcW w:w="0" w:type="auto"/>
            <w:vAlign w:val="center"/>
          </w:tcPr>
          <w:p w:rsidR="003C69C1" w:rsidRDefault="008901F2">
            <w:pPr>
              <w:jc w:val="right"/>
            </w:pPr>
            <w:r>
              <w:rPr>
                <w:rFonts w:eastAsiaTheme="minorEastAsia"/>
                <w:color w:val="000000" w:themeColor="text1"/>
                <w:sz w:val="24"/>
              </w:rPr>
              <w:t>0.01</w:t>
            </w:r>
          </w:p>
        </w:tc>
      </w:tr>
      <w:tr w:rsidR="003C69C1">
        <w:tc>
          <w:tcPr>
            <w:tcW w:w="0" w:type="auto"/>
            <w:vAlign w:val="center"/>
          </w:tcPr>
          <w:p w:rsidR="003C69C1" w:rsidRDefault="008901F2">
            <w:pPr>
              <w:jc w:val="center"/>
            </w:pPr>
            <w:r>
              <w:rPr>
                <w:rFonts w:eastAsiaTheme="minorEastAsia"/>
                <w:color w:val="000000" w:themeColor="text1"/>
                <w:sz w:val="24"/>
              </w:rPr>
              <w:t>7</w:t>
            </w:r>
          </w:p>
        </w:tc>
        <w:tc>
          <w:tcPr>
            <w:tcW w:w="0" w:type="auto"/>
            <w:vAlign w:val="center"/>
          </w:tcPr>
          <w:p w:rsidR="003C69C1" w:rsidRDefault="008901F2">
            <w:pPr>
              <w:jc w:val="center"/>
            </w:pPr>
            <w:r>
              <w:rPr>
                <w:rFonts w:eastAsiaTheme="minorEastAsia"/>
                <w:color w:val="000000" w:themeColor="text1"/>
                <w:sz w:val="24"/>
              </w:rPr>
              <w:t>000858</w:t>
            </w:r>
          </w:p>
        </w:tc>
        <w:tc>
          <w:tcPr>
            <w:tcW w:w="0" w:type="auto"/>
            <w:vAlign w:val="center"/>
          </w:tcPr>
          <w:p w:rsidR="003C69C1" w:rsidRDefault="008901F2">
            <w:pPr>
              <w:jc w:val="center"/>
            </w:pPr>
            <w:r>
              <w:rPr>
                <w:rFonts w:eastAsiaTheme="minorEastAsia"/>
                <w:color w:val="000000" w:themeColor="text1"/>
                <w:sz w:val="24"/>
              </w:rPr>
              <w:t>五粮液</w:t>
            </w:r>
          </w:p>
        </w:tc>
        <w:tc>
          <w:tcPr>
            <w:tcW w:w="0" w:type="auto"/>
            <w:vAlign w:val="center"/>
          </w:tcPr>
          <w:p w:rsidR="003C69C1" w:rsidRDefault="008901F2">
            <w:pPr>
              <w:jc w:val="right"/>
            </w:pPr>
            <w:r>
              <w:rPr>
                <w:rFonts w:eastAsiaTheme="minorEastAsia"/>
                <w:color w:val="000000" w:themeColor="text1"/>
                <w:sz w:val="24"/>
              </w:rPr>
              <w:t>5,800</w:t>
            </w:r>
          </w:p>
        </w:tc>
        <w:tc>
          <w:tcPr>
            <w:tcW w:w="0" w:type="auto"/>
            <w:vAlign w:val="center"/>
          </w:tcPr>
          <w:p w:rsidR="003C69C1" w:rsidRDefault="008901F2">
            <w:pPr>
              <w:jc w:val="right"/>
            </w:pPr>
            <w:r>
              <w:rPr>
                <w:rFonts w:eastAsiaTheme="minorEastAsia"/>
                <w:color w:val="000000" w:themeColor="text1"/>
                <w:sz w:val="24"/>
              </w:rPr>
              <w:t>771,458.00</w:t>
            </w:r>
          </w:p>
        </w:tc>
        <w:tc>
          <w:tcPr>
            <w:tcW w:w="0" w:type="auto"/>
            <w:vAlign w:val="center"/>
          </w:tcPr>
          <w:p w:rsidR="003C69C1" w:rsidRDefault="008901F2">
            <w:pPr>
              <w:jc w:val="right"/>
            </w:pPr>
            <w:r>
              <w:rPr>
                <w:rFonts w:eastAsiaTheme="minorEastAsia"/>
                <w:color w:val="000000" w:themeColor="text1"/>
                <w:sz w:val="24"/>
              </w:rPr>
              <w:t>0.01</w:t>
            </w:r>
          </w:p>
        </w:tc>
      </w:tr>
      <w:tr w:rsidR="003C69C1">
        <w:tc>
          <w:tcPr>
            <w:tcW w:w="0" w:type="auto"/>
            <w:vAlign w:val="center"/>
          </w:tcPr>
          <w:p w:rsidR="003C69C1" w:rsidRDefault="008901F2">
            <w:pPr>
              <w:jc w:val="center"/>
            </w:pPr>
            <w:r>
              <w:rPr>
                <w:rFonts w:eastAsiaTheme="minorEastAsia"/>
                <w:color w:val="000000" w:themeColor="text1"/>
                <w:sz w:val="24"/>
              </w:rPr>
              <w:t>8</w:t>
            </w:r>
          </w:p>
        </w:tc>
        <w:tc>
          <w:tcPr>
            <w:tcW w:w="0" w:type="auto"/>
            <w:vAlign w:val="center"/>
          </w:tcPr>
          <w:p w:rsidR="003C69C1" w:rsidRDefault="008901F2">
            <w:pPr>
              <w:jc w:val="center"/>
            </w:pPr>
            <w:r>
              <w:rPr>
                <w:rFonts w:eastAsiaTheme="minorEastAsia"/>
                <w:color w:val="000000" w:themeColor="text1"/>
                <w:sz w:val="24"/>
              </w:rPr>
              <w:t>601899</w:t>
            </w:r>
          </w:p>
        </w:tc>
        <w:tc>
          <w:tcPr>
            <w:tcW w:w="0" w:type="auto"/>
            <w:vAlign w:val="center"/>
          </w:tcPr>
          <w:p w:rsidR="003C69C1" w:rsidRDefault="008901F2">
            <w:pPr>
              <w:jc w:val="center"/>
            </w:pPr>
            <w:r>
              <w:rPr>
                <w:rFonts w:eastAsiaTheme="minorEastAsia"/>
                <w:color w:val="000000" w:themeColor="text1"/>
                <w:sz w:val="24"/>
              </w:rPr>
              <w:t>紫金矿业</w:t>
            </w:r>
          </w:p>
        </w:tc>
        <w:tc>
          <w:tcPr>
            <w:tcW w:w="0" w:type="auto"/>
            <w:vAlign w:val="center"/>
          </w:tcPr>
          <w:p w:rsidR="003C69C1" w:rsidRDefault="008901F2">
            <w:pPr>
              <w:jc w:val="right"/>
            </w:pPr>
            <w:r>
              <w:rPr>
                <w:rFonts w:eastAsiaTheme="minorEastAsia"/>
                <w:color w:val="000000" w:themeColor="text1"/>
                <w:sz w:val="24"/>
              </w:rPr>
              <w:t>166,700</w:t>
            </w:r>
          </w:p>
        </w:tc>
        <w:tc>
          <w:tcPr>
            <w:tcW w:w="0" w:type="auto"/>
            <w:vAlign w:val="center"/>
          </w:tcPr>
          <w:p w:rsidR="003C69C1" w:rsidRDefault="008901F2">
            <w:pPr>
              <w:jc w:val="right"/>
            </w:pPr>
            <w:r>
              <w:rPr>
                <w:rFonts w:eastAsiaTheme="minorEastAsia"/>
                <w:color w:val="000000" w:themeColor="text1"/>
                <w:sz w:val="24"/>
              </w:rPr>
              <w:t>765,153.00</w:t>
            </w:r>
          </w:p>
        </w:tc>
        <w:tc>
          <w:tcPr>
            <w:tcW w:w="0" w:type="auto"/>
            <w:vAlign w:val="center"/>
          </w:tcPr>
          <w:p w:rsidR="003C69C1" w:rsidRDefault="008901F2">
            <w:pPr>
              <w:jc w:val="right"/>
            </w:pPr>
            <w:r>
              <w:rPr>
                <w:rFonts w:eastAsiaTheme="minorEastAsia"/>
                <w:color w:val="000000" w:themeColor="text1"/>
                <w:sz w:val="24"/>
              </w:rPr>
              <w:t>0.01</w:t>
            </w:r>
          </w:p>
        </w:tc>
      </w:tr>
      <w:tr w:rsidR="003C69C1">
        <w:tc>
          <w:tcPr>
            <w:tcW w:w="0" w:type="auto"/>
            <w:vAlign w:val="center"/>
          </w:tcPr>
          <w:p w:rsidR="003C69C1" w:rsidRDefault="008901F2">
            <w:pPr>
              <w:jc w:val="center"/>
            </w:pPr>
            <w:r>
              <w:rPr>
                <w:rFonts w:eastAsiaTheme="minorEastAsia"/>
                <w:color w:val="000000" w:themeColor="text1"/>
                <w:sz w:val="24"/>
              </w:rPr>
              <w:t>9</w:t>
            </w:r>
          </w:p>
        </w:tc>
        <w:tc>
          <w:tcPr>
            <w:tcW w:w="0" w:type="auto"/>
            <w:vAlign w:val="center"/>
          </w:tcPr>
          <w:p w:rsidR="003C69C1" w:rsidRDefault="008901F2">
            <w:pPr>
              <w:jc w:val="center"/>
            </w:pPr>
            <w:r>
              <w:rPr>
                <w:rFonts w:eastAsiaTheme="minorEastAsia"/>
                <w:color w:val="000000" w:themeColor="text1"/>
                <w:sz w:val="24"/>
              </w:rPr>
              <w:t>000333</w:t>
            </w:r>
          </w:p>
        </w:tc>
        <w:tc>
          <w:tcPr>
            <w:tcW w:w="0" w:type="auto"/>
            <w:vAlign w:val="center"/>
          </w:tcPr>
          <w:p w:rsidR="003C69C1" w:rsidRDefault="008901F2">
            <w:pPr>
              <w:jc w:val="center"/>
            </w:pPr>
            <w:r>
              <w:rPr>
                <w:rFonts w:eastAsiaTheme="minorEastAsia"/>
                <w:color w:val="000000" w:themeColor="text1"/>
                <w:sz w:val="24"/>
              </w:rPr>
              <w:t>美的集团</w:t>
            </w:r>
          </w:p>
        </w:tc>
        <w:tc>
          <w:tcPr>
            <w:tcW w:w="0" w:type="auto"/>
            <w:vAlign w:val="center"/>
          </w:tcPr>
          <w:p w:rsidR="003C69C1" w:rsidRDefault="008901F2">
            <w:pPr>
              <w:jc w:val="right"/>
            </w:pPr>
            <w:r>
              <w:rPr>
                <w:rFonts w:eastAsiaTheme="minorEastAsia"/>
                <w:color w:val="000000" w:themeColor="text1"/>
                <w:sz w:val="24"/>
              </w:rPr>
              <w:t>13,100</w:t>
            </w:r>
          </w:p>
        </w:tc>
        <w:tc>
          <w:tcPr>
            <w:tcW w:w="0" w:type="auto"/>
            <w:vAlign w:val="center"/>
          </w:tcPr>
          <w:p w:rsidR="003C69C1" w:rsidRDefault="008901F2">
            <w:pPr>
              <w:jc w:val="right"/>
            </w:pPr>
            <w:r>
              <w:rPr>
                <w:rFonts w:eastAsiaTheme="minorEastAsia"/>
                <w:color w:val="000000" w:themeColor="text1"/>
                <w:sz w:val="24"/>
              </w:rPr>
              <w:t>763,075.00</w:t>
            </w:r>
          </w:p>
        </w:tc>
        <w:tc>
          <w:tcPr>
            <w:tcW w:w="0" w:type="auto"/>
            <w:vAlign w:val="center"/>
          </w:tcPr>
          <w:p w:rsidR="003C69C1" w:rsidRDefault="008901F2">
            <w:pPr>
              <w:jc w:val="right"/>
            </w:pPr>
            <w:r>
              <w:rPr>
                <w:rFonts w:eastAsiaTheme="minorEastAsia"/>
                <w:color w:val="000000" w:themeColor="text1"/>
                <w:sz w:val="24"/>
              </w:rPr>
              <w:t>0.01</w:t>
            </w:r>
          </w:p>
        </w:tc>
      </w:tr>
      <w:tr w:rsidR="003C69C1">
        <w:tc>
          <w:tcPr>
            <w:tcW w:w="0" w:type="auto"/>
            <w:vAlign w:val="center"/>
          </w:tcPr>
          <w:p w:rsidR="003C69C1" w:rsidRDefault="008901F2">
            <w:pPr>
              <w:jc w:val="center"/>
            </w:pPr>
            <w:r>
              <w:rPr>
                <w:rFonts w:eastAsiaTheme="minorEastAsia"/>
                <w:color w:val="000000" w:themeColor="text1"/>
                <w:sz w:val="24"/>
              </w:rPr>
              <w:t>10</w:t>
            </w:r>
          </w:p>
        </w:tc>
        <w:tc>
          <w:tcPr>
            <w:tcW w:w="0" w:type="auto"/>
            <w:vAlign w:val="center"/>
          </w:tcPr>
          <w:p w:rsidR="003C69C1" w:rsidRDefault="008901F2">
            <w:pPr>
              <w:jc w:val="center"/>
            </w:pPr>
            <w:r>
              <w:rPr>
                <w:rFonts w:eastAsiaTheme="minorEastAsia"/>
                <w:color w:val="000000" w:themeColor="text1"/>
                <w:sz w:val="24"/>
              </w:rPr>
              <w:t>601166</w:t>
            </w:r>
          </w:p>
        </w:tc>
        <w:tc>
          <w:tcPr>
            <w:tcW w:w="0" w:type="auto"/>
            <w:vAlign w:val="center"/>
          </w:tcPr>
          <w:p w:rsidR="003C69C1" w:rsidRDefault="008901F2">
            <w:pPr>
              <w:jc w:val="center"/>
            </w:pPr>
            <w:r>
              <w:rPr>
                <w:rFonts w:eastAsiaTheme="minorEastAsia"/>
                <w:color w:val="000000" w:themeColor="text1"/>
                <w:sz w:val="24"/>
              </w:rPr>
              <w:t>兴业银行</w:t>
            </w:r>
          </w:p>
        </w:tc>
        <w:tc>
          <w:tcPr>
            <w:tcW w:w="0" w:type="auto"/>
            <w:vAlign w:val="center"/>
          </w:tcPr>
          <w:p w:rsidR="003C69C1" w:rsidRDefault="008901F2">
            <w:pPr>
              <w:jc w:val="right"/>
            </w:pPr>
            <w:r>
              <w:rPr>
                <w:rFonts w:eastAsiaTheme="minorEastAsia"/>
                <w:color w:val="000000" w:themeColor="text1"/>
                <w:sz w:val="24"/>
              </w:rPr>
              <w:t>38,000</w:t>
            </w:r>
          </w:p>
        </w:tc>
        <w:tc>
          <w:tcPr>
            <w:tcW w:w="0" w:type="auto"/>
            <w:vAlign w:val="center"/>
          </w:tcPr>
          <w:p w:rsidR="003C69C1" w:rsidRDefault="008901F2">
            <w:pPr>
              <w:jc w:val="right"/>
            </w:pPr>
            <w:r>
              <w:rPr>
                <w:rFonts w:eastAsiaTheme="minorEastAsia"/>
                <w:color w:val="000000" w:themeColor="text1"/>
                <w:sz w:val="24"/>
              </w:rPr>
              <w:t>752,400.00</w:t>
            </w:r>
          </w:p>
        </w:tc>
        <w:tc>
          <w:tcPr>
            <w:tcW w:w="0" w:type="auto"/>
            <w:vAlign w:val="center"/>
          </w:tcPr>
          <w:p w:rsidR="003C69C1" w:rsidRDefault="008901F2">
            <w:pPr>
              <w:jc w:val="right"/>
            </w:pPr>
            <w:r>
              <w:rPr>
                <w:rFonts w:eastAsiaTheme="minorEastAsia"/>
                <w:color w:val="000000" w:themeColor="text1"/>
                <w:sz w:val="24"/>
              </w:rPr>
              <w:t>0.01</w:t>
            </w:r>
          </w:p>
        </w:tc>
      </w:tr>
    </w:tbl>
    <w:p w:rsidR="00F21B6D" w:rsidRPr="00B34368" w:rsidRDefault="009238DB"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5.</w:t>
      </w:r>
      <w:r w:rsidR="0040218E" w:rsidRPr="00B34368">
        <w:rPr>
          <w:rFonts w:eastAsiaTheme="minorEastAsia"/>
          <w:b/>
          <w:color w:val="000000" w:themeColor="text1"/>
          <w:kern w:val="0"/>
          <w:sz w:val="24"/>
        </w:rPr>
        <w:t>5</w:t>
      </w:r>
      <w:r w:rsidRPr="00B34368">
        <w:rPr>
          <w:rFonts w:eastAsiaTheme="minorEastAsia"/>
          <w:b/>
          <w:color w:val="000000" w:themeColor="text1"/>
          <w:kern w:val="0"/>
          <w:sz w:val="24"/>
        </w:rPr>
        <w:t xml:space="preserve"> </w:t>
      </w:r>
      <w:r w:rsidRPr="00B34368">
        <w:rPr>
          <w:rFonts w:eastAsiaTheme="minorEastAsia" w:hAnsiTheme="minorEastAsia"/>
          <w:b/>
          <w:color w:val="000000" w:themeColor="text1"/>
          <w:kern w:val="0"/>
          <w:sz w:val="24"/>
        </w:rPr>
        <w:t>报告期末按债券品种分类的债券投资组合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410"/>
        <w:gridCol w:w="2041"/>
      </w:tblGrid>
      <w:tr w:rsidR="00F21B6D" w:rsidRPr="00B34368" w:rsidTr="008F6C49">
        <w:tc>
          <w:tcPr>
            <w:tcW w:w="817"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序号</w:t>
            </w:r>
          </w:p>
        </w:tc>
        <w:tc>
          <w:tcPr>
            <w:tcW w:w="3260"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债券品种</w:t>
            </w:r>
          </w:p>
        </w:tc>
        <w:tc>
          <w:tcPr>
            <w:tcW w:w="2410"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公允价值</w:t>
            </w:r>
            <w:r w:rsidRPr="00B34368">
              <w:rPr>
                <w:rFonts w:eastAsiaTheme="minorEastAsia"/>
                <w:color w:val="000000" w:themeColor="text1"/>
                <w:sz w:val="24"/>
              </w:rPr>
              <w:t>(</w:t>
            </w:r>
            <w:r w:rsidRPr="00B34368">
              <w:rPr>
                <w:rFonts w:eastAsiaTheme="minorEastAsia" w:hAnsiTheme="minorEastAsia"/>
                <w:color w:val="000000" w:themeColor="text1"/>
                <w:sz w:val="24"/>
              </w:rPr>
              <w:t>元</w:t>
            </w:r>
            <w:r w:rsidRPr="00B34368">
              <w:rPr>
                <w:rFonts w:eastAsiaTheme="minorEastAsia"/>
                <w:color w:val="000000" w:themeColor="text1"/>
                <w:sz w:val="24"/>
              </w:rPr>
              <w:t>)</w:t>
            </w:r>
          </w:p>
        </w:tc>
        <w:tc>
          <w:tcPr>
            <w:tcW w:w="2041"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占基金资产净值比例</w:t>
            </w:r>
            <w:r w:rsidRPr="00B34368">
              <w:rPr>
                <w:rFonts w:eastAsiaTheme="minorEastAsia"/>
                <w:color w:val="000000" w:themeColor="text1"/>
                <w:sz w:val="24"/>
              </w:rPr>
              <w:t>(</w:t>
            </w:r>
            <w:r w:rsidRPr="00B34368">
              <w:rPr>
                <w:rFonts w:eastAsiaTheme="minorEastAsia" w:hAnsiTheme="minorEastAsia"/>
                <w:color w:val="000000" w:themeColor="text1"/>
                <w:sz w:val="24"/>
              </w:rPr>
              <w:t>％</w:t>
            </w:r>
            <w:r w:rsidRPr="00B34368">
              <w:rPr>
                <w:rFonts w:eastAsiaTheme="minorEastAsia"/>
                <w:color w:val="000000" w:themeColor="text1"/>
                <w:sz w:val="24"/>
              </w:rPr>
              <w:t>)</w:t>
            </w:r>
          </w:p>
        </w:tc>
      </w:tr>
      <w:tr w:rsidR="00F21B6D" w:rsidRPr="00B34368" w:rsidTr="008F6C49">
        <w:tc>
          <w:tcPr>
            <w:tcW w:w="817"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1</w:t>
            </w:r>
          </w:p>
        </w:tc>
        <w:tc>
          <w:tcPr>
            <w:tcW w:w="3260" w:type="dxa"/>
            <w:vAlign w:val="center"/>
          </w:tcPr>
          <w:p w:rsidR="00F21B6D" w:rsidRPr="00B34368" w:rsidRDefault="00F21B6D" w:rsidP="008F6C49">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国家债券</w:t>
            </w:r>
          </w:p>
        </w:tc>
        <w:tc>
          <w:tcPr>
            <w:tcW w:w="2410"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2041"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F21B6D" w:rsidRPr="00B34368" w:rsidTr="008F6C49">
        <w:tc>
          <w:tcPr>
            <w:tcW w:w="817"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2</w:t>
            </w:r>
          </w:p>
        </w:tc>
        <w:tc>
          <w:tcPr>
            <w:tcW w:w="3260" w:type="dxa"/>
            <w:vAlign w:val="center"/>
          </w:tcPr>
          <w:p w:rsidR="00F21B6D" w:rsidRPr="00B34368" w:rsidRDefault="00F21B6D" w:rsidP="008F6C49">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央行票据</w:t>
            </w:r>
          </w:p>
        </w:tc>
        <w:tc>
          <w:tcPr>
            <w:tcW w:w="2410"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2041"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F21B6D" w:rsidRPr="00B34368" w:rsidTr="008F6C49">
        <w:tc>
          <w:tcPr>
            <w:tcW w:w="817"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3</w:t>
            </w:r>
          </w:p>
        </w:tc>
        <w:tc>
          <w:tcPr>
            <w:tcW w:w="3260" w:type="dxa"/>
            <w:vAlign w:val="center"/>
          </w:tcPr>
          <w:p w:rsidR="00F21B6D" w:rsidRPr="00B34368" w:rsidRDefault="00F21B6D" w:rsidP="008F6C49">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金融债券</w:t>
            </w:r>
          </w:p>
        </w:tc>
        <w:tc>
          <w:tcPr>
            <w:tcW w:w="2410"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230,653,000.00</w:t>
            </w:r>
          </w:p>
        </w:tc>
        <w:tc>
          <w:tcPr>
            <w:tcW w:w="2041"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3.29</w:t>
            </w:r>
          </w:p>
        </w:tc>
      </w:tr>
      <w:tr w:rsidR="00F21B6D" w:rsidRPr="00B34368" w:rsidTr="008F6C49">
        <w:tc>
          <w:tcPr>
            <w:tcW w:w="817"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p>
        </w:tc>
        <w:tc>
          <w:tcPr>
            <w:tcW w:w="3260" w:type="dxa"/>
            <w:vAlign w:val="center"/>
          </w:tcPr>
          <w:p w:rsidR="00F21B6D" w:rsidRPr="00B34368" w:rsidRDefault="00F21B6D" w:rsidP="008F6C49">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其中：政策性金融债</w:t>
            </w:r>
          </w:p>
        </w:tc>
        <w:tc>
          <w:tcPr>
            <w:tcW w:w="2410"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230,653,000.00</w:t>
            </w:r>
          </w:p>
        </w:tc>
        <w:tc>
          <w:tcPr>
            <w:tcW w:w="2041"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3.29</w:t>
            </w:r>
          </w:p>
        </w:tc>
      </w:tr>
      <w:tr w:rsidR="00F21B6D" w:rsidRPr="00B34368" w:rsidTr="008F6C49">
        <w:tc>
          <w:tcPr>
            <w:tcW w:w="817"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4</w:t>
            </w:r>
          </w:p>
        </w:tc>
        <w:tc>
          <w:tcPr>
            <w:tcW w:w="3260" w:type="dxa"/>
            <w:vAlign w:val="center"/>
          </w:tcPr>
          <w:p w:rsidR="00F21B6D" w:rsidRPr="00B34368" w:rsidRDefault="00F21B6D" w:rsidP="008F6C49">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企业债券</w:t>
            </w:r>
          </w:p>
        </w:tc>
        <w:tc>
          <w:tcPr>
            <w:tcW w:w="2410"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2041"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F21B6D" w:rsidRPr="00B34368" w:rsidTr="008F6C49">
        <w:tc>
          <w:tcPr>
            <w:tcW w:w="817"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5</w:t>
            </w:r>
          </w:p>
        </w:tc>
        <w:tc>
          <w:tcPr>
            <w:tcW w:w="3260" w:type="dxa"/>
            <w:vAlign w:val="center"/>
          </w:tcPr>
          <w:p w:rsidR="00F21B6D" w:rsidRPr="00B34368" w:rsidRDefault="00F21B6D" w:rsidP="008F6C49">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企业短期融资券</w:t>
            </w:r>
          </w:p>
        </w:tc>
        <w:tc>
          <w:tcPr>
            <w:tcW w:w="2410"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2041"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F21B6D" w:rsidRPr="00B34368" w:rsidTr="008F6C49">
        <w:tc>
          <w:tcPr>
            <w:tcW w:w="817"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6</w:t>
            </w:r>
          </w:p>
        </w:tc>
        <w:tc>
          <w:tcPr>
            <w:tcW w:w="3260" w:type="dxa"/>
            <w:vAlign w:val="center"/>
          </w:tcPr>
          <w:p w:rsidR="00F21B6D" w:rsidRPr="00B34368" w:rsidRDefault="00F21B6D" w:rsidP="008F6C49">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中期票据</w:t>
            </w:r>
          </w:p>
        </w:tc>
        <w:tc>
          <w:tcPr>
            <w:tcW w:w="2410"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2041"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F21B6D" w:rsidRPr="00B34368" w:rsidTr="008F6C49">
        <w:tc>
          <w:tcPr>
            <w:tcW w:w="817"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7</w:t>
            </w:r>
          </w:p>
        </w:tc>
        <w:tc>
          <w:tcPr>
            <w:tcW w:w="3260" w:type="dxa"/>
            <w:vAlign w:val="center"/>
          </w:tcPr>
          <w:p w:rsidR="00F21B6D" w:rsidRPr="00B34368" w:rsidRDefault="0054389B" w:rsidP="008F6C49">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可转债（可交换债）</w:t>
            </w:r>
          </w:p>
        </w:tc>
        <w:tc>
          <w:tcPr>
            <w:tcW w:w="2410"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1,107,982.05</w:t>
            </w:r>
          </w:p>
        </w:tc>
        <w:tc>
          <w:tcPr>
            <w:tcW w:w="2041"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0.02</w:t>
            </w:r>
          </w:p>
        </w:tc>
      </w:tr>
      <w:tr w:rsidR="00F21B6D" w:rsidRPr="00B34368" w:rsidTr="008F6C49">
        <w:tc>
          <w:tcPr>
            <w:tcW w:w="817"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8</w:t>
            </w:r>
          </w:p>
        </w:tc>
        <w:tc>
          <w:tcPr>
            <w:tcW w:w="3260" w:type="dxa"/>
            <w:vAlign w:val="center"/>
          </w:tcPr>
          <w:p w:rsidR="00F21B6D" w:rsidRPr="00B34368" w:rsidRDefault="00F21B6D" w:rsidP="008F6C49">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同业存单</w:t>
            </w:r>
          </w:p>
        </w:tc>
        <w:tc>
          <w:tcPr>
            <w:tcW w:w="2410"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2041"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F21B6D" w:rsidRPr="00B34368" w:rsidTr="008F6C49">
        <w:tc>
          <w:tcPr>
            <w:tcW w:w="817"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9</w:t>
            </w:r>
          </w:p>
        </w:tc>
        <w:tc>
          <w:tcPr>
            <w:tcW w:w="3260" w:type="dxa"/>
            <w:vAlign w:val="center"/>
          </w:tcPr>
          <w:p w:rsidR="00F21B6D" w:rsidRPr="00B34368" w:rsidRDefault="00F21B6D" w:rsidP="008F6C49">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其他</w:t>
            </w:r>
          </w:p>
        </w:tc>
        <w:tc>
          <w:tcPr>
            <w:tcW w:w="2410"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2041"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F21B6D" w:rsidRPr="00B34368" w:rsidTr="008F6C49">
        <w:tc>
          <w:tcPr>
            <w:tcW w:w="817"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10</w:t>
            </w:r>
          </w:p>
        </w:tc>
        <w:tc>
          <w:tcPr>
            <w:tcW w:w="3260" w:type="dxa"/>
            <w:vAlign w:val="center"/>
          </w:tcPr>
          <w:p w:rsidR="00F21B6D" w:rsidRPr="00B34368" w:rsidRDefault="00F21B6D" w:rsidP="008F6C49">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合计</w:t>
            </w:r>
          </w:p>
        </w:tc>
        <w:tc>
          <w:tcPr>
            <w:tcW w:w="2410"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231,760,982.05</w:t>
            </w:r>
          </w:p>
        </w:tc>
        <w:tc>
          <w:tcPr>
            <w:tcW w:w="2041"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3.31</w:t>
            </w:r>
          </w:p>
        </w:tc>
      </w:tr>
    </w:tbl>
    <w:p w:rsidR="009238DB" w:rsidRPr="00B34368" w:rsidRDefault="009238DB"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5.</w:t>
      </w:r>
      <w:r w:rsidR="0040218E" w:rsidRPr="00B34368">
        <w:rPr>
          <w:rFonts w:eastAsiaTheme="minorEastAsia"/>
          <w:b/>
          <w:color w:val="000000" w:themeColor="text1"/>
          <w:kern w:val="0"/>
          <w:sz w:val="24"/>
        </w:rPr>
        <w:t>6</w:t>
      </w:r>
      <w:r w:rsidRPr="00B34368">
        <w:rPr>
          <w:rFonts w:eastAsiaTheme="minorEastAsia"/>
          <w:b/>
          <w:color w:val="000000" w:themeColor="text1"/>
          <w:kern w:val="0"/>
          <w:sz w:val="24"/>
        </w:rPr>
        <w:t xml:space="preserve"> </w:t>
      </w:r>
      <w:r w:rsidRPr="00B34368">
        <w:rPr>
          <w:rFonts w:eastAsiaTheme="minorEastAsia" w:hAnsiTheme="minorEastAsia"/>
          <w:b/>
          <w:color w:val="000000" w:themeColor="text1"/>
          <w:kern w:val="0"/>
          <w:sz w:val="24"/>
        </w:rPr>
        <w:t>报告期末按公允价值占基金资产净值比例大小排</w:t>
      </w:r>
      <w:r w:rsidR="00E15FD1" w:rsidRPr="00B34368">
        <w:rPr>
          <w:rFonts w:eastAsiaTheme="minorEastAsia" w:hAnsiTheme="minorEastAsia"/>
          <w:b/>
          <w:color w:val="000000" w:themeColor="text1"/>
          <w:kern w:val="0"/>
          <w:sz w:val="24"/>
        </w:rPr>
        <w:t>序</w:t>
      </w:r>
      <w:r w:rsidRPr="00B34368">
        <w:rPr>
          <w:rFonts w:eastAsiaTheme="minorEastAsia" w:hAnsiTheme="minorEastAsia"/>
          <w:b/>
          <w:color w:val="000000" w:themeColor="text1"/>
          <w:kern w:val="0"/>
          <w:sz w:val="24"/>
        </w:rPr>
        <w:t>的前五名债券投资明细</w:t>
      </w:r>
    </w:p>
    <w:tbl>
      <w:tblPr>
        <w:tblStyle w:val="af2"/>
        <w:tblW w:w="0" w:type="auto"/>
        <w:tblInd w:w="108" w:type="dxa"/>
        <w:tblLayout w:type="fixed"/>
        <w:tblLook w:val="04A0" w:firstRow="1" w:lastRow="0" w:firstColumn="1" w:lastColumn="0" w:noHBand="0" w:noVBand="1"/>
      </w:tblPr>
      <w:tblGrid>
        <w:gridCol w:w="1504"/>
        <w:gridCol w:w="1504"/>
        <w:gridCol w:w="1504"/>
        <w:gridCol w:w="1503"/>
        <w:gridCol w:w="1503"/>
        <w:gridCol w:w="1503"/>
      </w:tblGrid>
      <w:tr w:rsidR="00D3639B" w:rsidRPr="00B34368" w:rsidTr="00975D18">
        <w:tc>
          <w:tcPr>
            <w:tcW w:w="1504" w:type="dxa"/>
            <w:vAlign w:val="center"/>
          </w:tcPr>
          <w:p w:rsidR="00685FFC" w:rsidRPr="00B34368" w:rsidRDefault="00685FFC" w:rsidP="009A045B">
            <w:pPr>
              <w:autoSpaceDE w:val="0"/>
              <w:autoSpaceDN w:val="0"/>
              <w:adjustRightInd w:val="0"/>
              <w:spacing w:before="29" w:line="288"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序号</w:t>
            </w:r>
          </w:p>
        </w:tc>
        <w:tc>
          <w:tcPr>
            <w:tcW w:w="1504" w:type="dxa"/>
            <w:vAlign w:val="center"/>
          </w:tcPr>
          <w:p w:rsidR="00685FFC" w:rsidRPr="00B34368" w:rsidRDefault="00685FFC" w:rsidP="009A045B">
            <w:pPr>
              <w:autoSpaceDE w:val="0"/>
              <w:autoSpaceDN w:val="0"/>
              <w:adjustRightInd w:val="0"/>
              <w:spacing w:before="29" w:line="288"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债券代码</w:t>
            </w:r>
          </w:p>
        </w:tc>
        <w:tc>
          <w:tcPr>
            <w:tcW w:w="1504" w:type="dxa"/>
            <w:vAlign w:val="center"/>
          </w:tcPr>
          <w:p w:rsidR="00685FFC" w:rsidRPr="00B34368" w:rsidRDefault="00685FFC" w:rsidP="009A045B">
            <w:pPr>
              <w:autoSpaceDE w:val="0"/>
              <w:autoSpaceDN w:val="0"/>
              <w:adjustRightInd w:val="0"/>
              <w:spacing w:before="29" w:line="288"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债券名称</w:t>
            </w:r>
          </w:p>
        </w:tc>
        <w:tc>
          <w:tcPr>
            <w:tcW w:w="1503" w:type="dxa"/>
            <w:vAlign w:val="center"/>
          </w:tcPr>
          <w:p w:rsidR="00685FFC" w:rsidRPr="00B34368" w:rsidRDefault="00685FFC" w:rsidP="009A045B">
            <w:pPr>
              <w:autoSpaceDE w:val="0"/>
              <w:autoSpaceDN w:val="0"/>
              <w:adjustRightInd w:val="0"/>
              <w:spacing w:before="29" w:line="288"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数量（张）</w:t>
            </w:r>
          </w:p>
        </w:tc>
        <w:tc>
          <w:tcPr>
            <w:tcW w:w="1503" w:type="dxa"/>
            <w:vAlign w:val="center"/>
          </w:tcPr>
          <w:p w:rsidR="00685FFC" w:rsidRPr="00B34368" w:rsidRDefault="00685FFC" w:rsidP="009A045B">
            <w:pPr>
              <w:autoSpaceDE w:val="0"/>
              <w:autoSpaceDN w:val="0"/>
              <w:adjustRightInd w:val="0"/>
              <w:spacing w:before="29" w:line="288"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公允价值</w:t>
            </w:r>
            <w:r w:rsidRPr="00B34368">
              <w:rPr>
                <w:rFonts w:eastAsiaTheme="minorEastAsia"/>
                <w:color w:val="000000" w:themeColor="text1"/>
                <w:kern w:val="0"/>
                <w:sz w:val="24"/>
              </w:rPr>
              <w:t>(</w:t>
            </w:r>
            <w:r w:rsidRPr="00B34368">
              <w:rPr>
                <w:rFonts w:eastAsiaTheme="minorEastAsia" w:hAnsiTheme="minorEastAsia"/>
                <w:color w:val="000000" w:themeColor="text1"/>
                <w:kern w:val="0"/>
                <w:sz w:val="24"/>
              </w:rPr>
              <w:t>元</w:t>
            </w:r>
            <w:r w:rsidRPr="00B34368">
              <w:rPr>
                <w:rFonts w:eastAsiaTheme="minorEastAsia"/>
                <w:color w:val="000000" w:themeColor="text1"/>
                <w:kern w:val="0"/>
                <w:sz w:val="24"/>
              </w:rPr>
              <w:t>)</w:t>
            </w:r>
          </w:p>
        </w:tc>
        <w:tc>
          <w:tcPr>
            <w:tcW w:w="1503" w:type="dxa"/>
            <w:vAlign w:val="center"/>
          </w:tcPr>
          <w:p w:rsidR="00685FFC" w:rsidRPr="00B34368" w:rsidRDefault="00685FFC" w:rsidP="009A045B">
            <w:pPr>
              <w:autoSpaceDE w:val="0"/>
              <w:autoSpaceDN w:val="0"/>
              <w:adjustRightInd w:val="0"/>
              <w:spacing w:before="29" w:line="288"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占基金资产净值比</w:t>
            </w:r>
            <w:r w:rsidR="00334656" w:rsidRPr="00B34368">
              <w:rPr>
                <w:rFonts w:eastAsiaTheme="minorEastAsia" w:hAnsiTheme="minorEastAsia"/>
                <w:color w:val="000000" w:themeColor="text1"/>
                <w:kern w:val="0"/>
                <w:sz w:val="24"/>
              </w:rPr>
              <w:t>例</w:t>
            </w:r>
            <w:r w:rsidRPr="00B34368">
              <w:rPr>
                <w:rFonts w:eastAsiaTheme="minorEastAsia" w:hAnsiTheme="minorEastAsia"/>
                <w:color w:val="000000" w:themeColor="text1"/>
                <w:kern w:val="0"/>
                <w:sz w:val="24"/>
              </w:rPr>
              <w:t>（％）</w:t>
            </w:r>
          </w:p>
        </w:tc>
      </w:tr>
      <w:tr w:rsidR="003C69C1">
        <w:tc>
          <w:tcPr>
            <w:tcW w:w="0" w:type="auto"/>
            <w:vAlign w:val="center"/>
          </w:tcPr>
          <w:p w:rsidR="003C69C1" w:rsidRDefault="008901F2">
            <w:pPr>
              <w:jc w:val="center"/>
            </w:pPr>
            <w:r>
              <w:rPr>
                <w:rFonts w:eastAsiaTheme="minorEastAsia"/>
                <w:color w:val="000000" w:themeColor="text1"/>
                <w:sz w:val="24"/>
              </w:rPr>
              <w:t>1</w:t>
            </w:r>
          </w:p>
        </w:tc>
        <w:tc>
          <w:tcPr>
            <w:tcW w:w="0" w:type="auto"/>
            <w:vAlign w:val="center"/>
          </w:tcPr>
          <w:p w:rsidR="003C69C1" w:rsidRDefault="008901F2">
            <w:pPr>
              <w:jc w:val="center"/>
            </w:pPr>
            <w:r>
              <w:rPr>
                <w:rFonts w:eastAsiaTheme="minorEastAsia"/>
                <w:color w:val="000000" w:themeColor="text1"/>
                <w:sz w:val="24"/>
              </w:rPr>
              <w:t>190302</w:t>
            </w:r>
          </w:p>
        </w:tc>
        <w:tc>
          <w:tcPr>
            <w:tcW w:w="0" w:type="auto"/>
            <w:vAlign w:val="center"/>
          </w:tcPr>
          <w:p w:rsidR="003C69C1" w:rsidRDefault="008901F2">
            <w:pPr>
              <w:jc w:val="center"/>
            </w:pPr>
            <w:r>
              <w:rPr>
                <w:rFonts w:eastAsiaTheme="minorEastAsia"/>
                <w:color w:val="000000" w:themeColor="text1"/>
                <w:sz w:val="24"/>
              </w:rPr>
              <w:t>19</w:t>
            </w:r>
            <w:r>
              <w:rPr>
                <w:rFonts w:eastAsiaTheme="minorEastAsia"/>
                <w:color w:val="000000" w:themeColor="text1"/>
                <w:sz w:val="24"/>
              </w:rPr>
              <w:t>进出</w:t>
            </w:r>
            <w:r>
              <w:rPr>
                <w:rFonts w:eastAsiaTheme="minorEastAsia"/>
                <w:color w:val="000000" w:themeColor="text1"/>
                <w:sz w:val="24"/>
              </w:rPr>
              <w:t>02</w:t>
            </w:r>
          </w:p>
        </w:tc>
        <w:tc>
          <w:tcPr>
            <w:tcW w:w="0" w:type="auto"/>
            <w:vAlign w:val="center"/>
          </w:tcPr>
          <w:p w:rsidR="003C69C1" w:rsidRDefault="008901F2">
            <w:pPr>
              <w:jc w:val="right"/>
            </w:pPr>
            <w:r>
              <w:rPr>
                <w:rFonts w:eastAsiaTheme="minorEastAsia"/>
                <w:color w:val="000000" w:themeColor="text1"/>
                <w:sz w:val="24"/>
              </w:rPr>
              <w:t>1,000,000</w:t>
            </w:r>
          </w:p>
        </w:tc>
        <w:tc>
          <w:tcPr>
            <w:tcW w:w="0" w:type="auto"/>
            <w:vAlign w:val="center"/>
          </w:tcPr>
          <w:p w:rsidR="003C69C1" w:rsidRDefault="008901F2">
            <w:pPr>
              <w:jc w:val="right"/>
            </w:pPr>
            <w:r>
              <w:rPr>
                <w:rFonts w:eastAsiaTheme="minorEastAsia"/>
                <w:color w:val="000000" w:themeColor="text1"/>
                <w:sz w:val="24"/>
              </w:rPr>
              <w:t>100,100,000.00</w:t>
            </w:r>
          </w:p>
        </w:tc>
        <w:tc>
          <w:tcPr>
            <w:tcW w:w="0" w:type="auto"/>
            <w:vAlign w:val="center"/>
          </w:tcPr>
          <w:p w:rsidR="003C69C1" w:rsidRDefault="008901F2">
            <w:pPr>
              <w:jc w:val="right"/>
            </w:pPr>
            <w:r>
              <w:rPr>
                <w:rFonts w:eastAsiaTheme="minorEastAsia"/>
                <w:color w:val="000000" w:themeColor="text1"/>
                <w:sz w:val="24"/>
              </w:rPr>
              <w:t>1.43</w:t>
            </w:r>
          </w:p>
        </w:tc>
      </w:tr>
      <w:tr w:rsidR="003C69C1">
        <w:tc>
          <w:tcPr>
            <w:tcW w:w="0" w:type="auto"/>
            <w:vAlign w:val="center"/>
          </w:tcPr>
          <w:p w:rsidR="003C69C1" w:rsidRDefault="008901F2">
            <w:pPr>
              <w:jc w:val="center"/>
            </w:pPr>
            <w:r>
              <w:rPr>
                <w:rFonts w:eastAsiaTheme="minorEastAsia"/>
                <w:color w:val="000000" w:themeColor="text1"/>
                <w:sz w:val="24"/>
              </w:rPr>
              <w:t>2</w:t>
            </w:r>
          </w:p>
        </w:tc>
        <w:tc>
          <w:tcPr>
            <w:tcW w:w="0" w:type="auto"/>
            <w:vAlign w:val="center"/>
          </w:tcPr>
          <w:p w:rsidR="003C69C1" w:rsidRDefault="008901F2">
            <w:pPr>
              <w:jc w:val="center"/>
            </w:pPr>
            <w:r>
              <w:rPr>
                <w:rFonts w:eastAsiaTheme="minorEastAsia"/>
                <w:color w:val="000000" w:themeColor="text1"/>
                <w:sz w:val="24"/>
              </w:rPr>
              <w:t>130310</w:t>
            </w:r>
          </w:p>
        </w:tc>
        <w:tc>
          <w:tcPr>
            <w:tcW w:w="0" w:type="auto"/>
            <w:vAlign w:val="center"/>
          </w:tcPr>
          <w:p w:rsidR="003C69C1" w:rsidRDefault="008901F2">
            <w:pPr>
              <w:jc w:val="center"/>
            </w:pPr>
            <w:r>
              <w:rPr>
                <w:rFonts w:eastAsiaTheme="minorEastAsia"/>
                <w:color w:val="000000" w:themeColor="text1"/>
                <w:sz w:val="24"/>
              </w:rPr>
              <w:t>13</w:t>
            </w:r>
            <w:r>
              <w:rPr>
                <w:rFonts w:eastAsiaTheme="minorEastAsia"/>
                <w:color w:val="000000" w:themeColor="text1"/>
                <w:sz w:val="24"/>
              </w:rPr>
              <w:t>进出</w:t>
            </w:r>
            <w:r>
              <w:rPr>
                <w:rFonts w:eastAsiaTheme="minorEastAsia"/>
                <w:color w:val="000000" w:themeColor="text1"/>
                <w:sz w:val="24"/>
              </w:rPr>
              <w:t>10</w:t>
            </w:r>
          </w:p>
        </w:tc>
        <w:tc>
          <w:tcPr>
            <w:tcW w:w="0" w:type="auto"/>
            <w:vAlign w:val="center"/>
          </w:tcPr>
          <w:p w:rsidR="003C69C1" w:rsidRDefault="008901F2">
            <w:pPr>
              <w:jc w:val="right"/>
            </w:pPr>
            <w:r>
              <w:rPr>
                <w:rFonts w:eastAsiaTheme="minorEastAsia"/>
                <w:color w:val="000000" w:themeColor="text1"/>
                <w:sz w:val="24"/>
              </w:rPr>
              <w:t>600,000</w:t>
            </w:r>
          </w:p>
        </w:tc>
        <w:tc>
          <w:tcPr>
            <w:tcW w:w="0" w:type="auto"/>
            <w:vAlign w:val="center"/>
          </w:tcPr>
          <w:p w:rsidR="003C69C1" w:rsidRDefault="008901F2">
            <w:pPr>
              <w:jc w:val="right"/>
            </w:pPr>
            <w:r>
              <w:rPr>
                <w:rFonts w:eastAsiaTheme="minorEastAsia"/>
                <w:color w:val="000000" w:themeColor="text1"/>
                <w:sz w:val="24"/>
              </w:rPr>
              <w:t>60,354,000.00</w:t>
            </w:r>
          </w:p>
        </w:tc>
        <w:tc>
          <w:tcPr>
            <w:tcW w:w="0" w:type="auto"/>
            <w:vAlign w:val="center"/>
          </w:tcPr>
          <w:p w:rsidR="003C69C1" w:rsidRDefault="008901F2">
            <w:pPr>
              <w:jc w:val="right"/>
            </w:pPr>
            <w:r>
              <w:rPr>
                <w:rFonts w:eastAsiaTheme="minorEastAsia"/>
                <w:color w:val="000000" w:themeColor="text1"/>
                <w:sz w:val="24"/>
              </w:rPr>
              <w:t>0.86</w:t>
            </w:r>
          </w:p>
        </w:tc>
      </w:tr>
      <w:tr w:rsidR="003C69C1">
        <w:tc>
          <w:tcPr>
            <w:tcW w:w="0" w:type="auto"/>
            <w:vAlign w:val="center"/>
          </w:tcPr>
          <w:p w:rsidR="003C69C1" w:rsidRDefault="008901F2">
            <w:pPr>
              <w:jc w:val="center"/>
            </w:pPr>
            <w:r>
              <w:rPr>
                <w:rFonts w:eastAsiaTheme="minorEastAsia"/>
                <w:color w:val="000000" w:themeColor="text1"/>
                <w:sz w:val="24"/>
              </w:rPr>
              <w:t>3</w:t>
            </w:r>
          </w:p>
        </w:tc>
        <w:tc>
          <w:tcPr>
            <w:tcW w:w="0" w:type="auto"/>
            <w:vAlign w:val="center"/>
          </w:tcPr>
          <w:p w:rsidR="003C69C1" w:rsidRDefault="008901F2">
            <w:pPr>
              <w:jc w:val="center"/>
            </w:pPr>
            <w:r>
              <w:rPr>
                <w:rFonts w:eastAsiaTheme="minorEastAsia"/>
                <w:color w:val="000000" w:themeColor="text1"/>
                <w:sz w:val="24"/>
              </w:rPr>
              <w:t>170205</w:t>
            </w:r>
          </w:p>
        </w:tc>
        <w:tc>
          <w:tcPr>
            <w:tcW w:w="0" w:type="auto"/>
            <w:vAlign w:val="center"/>
          </w:tcPr>
          <w:p w:rsidR="003C69C1" w:rsidRDefault="008901F2">
            <w:pPr>
              <w:jc w:val="center"/>
            </w:pPr>
            <w:r>
              <w:rPr>
                <w:rFonts w:eastAsiaTheme="minorEastAsia"/>
                <w:color w:val="000000" w:themeColor="text1"/>
                <w:sz w:val="24"/>
              </w:rPr>
              <w:t>17</w:t>
            </w:r>
            <w:r>
              <w:rPr>
                <w:rFonts w:eastAsiaTheme="minorEastAsia"/>
                <w:color w:val="000000" w:themeColor="text1"/>
                <w:sz w:val="24"/>
              </w:rPr>
              <w:t>国开</w:t>
            </w:r>
            <w:r>
              <w:rPr>
                <w:rFonts w:eastAsiaTheme="minorEastAsia"/>
                <w:color w:val="000000" w:themeColor="text1"/>
                <w:sz w:val="24"/>
              </w:rPr>
              <w:t>05</w:t>
            </w:r>
          </w:p>
        </w:tc>
        <w:tc>
          <w:tcPr>
            <w:tcW w:w="0" w:type="auto"/>
            <w:vAlign w:val="center"/>
          </w:tcPr>
          <w:p w:rsidR="003C69C1" w:rsidRDefault="008901F2">
            <w:pPr>
              <w:jc w:val="right"/>
            </w:pPr>
            <w:r>
              <w:rPr>
                <w:rFonts w:eastAsiaTheme="minorEastAsia"/>
                <w:color w:val="000000" w:themeColor="text1"/>
                <w:sz w:val="24"/>
              </w:rPr>
              <w:t>400,000</w:t>
            </w:r>
          </w:p>
        </w:tc>
        <w:tc>
          <w:tcPr>
            <w:tcW w:w="0" w:type="auto"/>
            <w:vAlign w:val="center"/>
          </w:tcPr>
          <w:p w:rsidR="003C69C1" w:rsidRDefault="008901F2">
            <w:pPr>
              <w:jc w:val="right"/>
            </w:pPr>
            <w:r>
              <w:rPr>
                <w:rFonts w:eastAsiaTheme="minorEastAsia"/>
                <w:color w:val="000000" w:themeColor="text1"/>
                <w:sz w:val="24"/>
              </w:rPr>
              <w:t>40,184,000.00</w:t>
            </w:r>
          </w:p>
        </w:tc>
        <w:tc>
          <w:tcPr>
            <w:tcW w:w="0" w:type="auto"/>
            <w:vAlign w:val="center"/>
          </w:tcPr>
          <w:p w:rsidR="003C69C1" w:rsidRDefault="008901F2">
            <w:pPr>
              <w:jc w:val="right"/>
            </w:pPr>
            <w:r>
              <w:rPr>
                <w:rFonts w:eastAsiaTheme="minorEastAsia"/>
                <w:color w:val="000000" w:themeColor="text1"/>
                <w:sz w:val="24"/>
              </w:rPr>
              <w:t>0.57</w:t>
            </w:r>
          </w:p>
        </w:tc>
      </w:tr>
      <w:tr w:rsidR="003C69C1">
        <w:tc>
          <w:tcPr>
            <w:tcW w:w="0" w:type="auto"/>
            <w:vAlign w:val="center"/>
          </w:tcPr>
          <w:p w:rsidR="003C69C1" w:rsidRDefault="008901F2">
            <w:pPr>
              <w:jc w:val="center"/>
            </w:pPr>
            <w:r>
              <w:rPr>
                <w:rFonts w:eastAsiaTheme="minorEastAsia"/>
                <w:color w:val="000000" w:themeColor="text1"/>
                <w:sz w:val="24"/>
              </w:rPr>
              <w:t>4</w:t>
            </w:r>
          </w:p>
        </w:tc>
        <w:tc>
          <w:tcPr>
            <w:tcW w:w="0" w:type="auto"/>
            <w:vAlign w:val="center"/>
          </w:tcPr>
          <w:p w:rsidR="003C69C1" w:rsidRDefault="008901F2">
            <w:pPr>
              <w:jc w:val="center"/>
            </w:pPr>
            <w:r>
              <w:rPr>
                <w:rFonts w:eastAsiaTheme="minorEastAsia"/>
                <w:color w:val="000000" w:themeColor="text1"/>
                <w:sz w:val="24"/>
              </w:rPr>
              <w:t>130208</w:t>
            </w:r>
          </w:p>
        </w:tc>
        <w:tc>
          <w:tcPr>
            <w:tcW w:w="0" w:type="auto"/>
            <w:vAlign w:val="center"/>
          </w:tcPr>
          <w:p w:rsidR="003C69C1" w:rsidRDefault="008901F2">
            <w:pPr>
              <w:jc w:val="center"/>
            </w:pPr>
            <w:r>
              <w:rPr>
                <w:rFonts w:eastAsiaTheme="minorEastAsia"/>
                <w:color w:val="000000" w:themeColor="text1"/>
                <w:sz w:val="24"/>
              </w:rPr>
              <w:t>13</w:t>
            </w:r>
            <w:r>
              <w:rPr>
                <w:rFonts w:eastAsiaTheme="minorEastAsia"/>
                <w:color w:val="000000" w:themeColor="text1"/>
                <w:sz w:val="24"/>
              </w:rPr>
              <w:t>国开</w:t>
            </w:r>
            <w:r>
              <w:rPr>
                <w:rFonts w:eastAsiaTheme="minorEastAsia"/>
                <w:color w:val="000000" w:themeColor="text1"/>
                <w:sz w:val="24"/>
              </w:rPr>
              <w:t>08</w:t>
            </w:r>
          </w:p>
        </w:tc>
        <w:tc>
          <w:tcPr>
            <w:tcW w:w="0" w:type="auto"/>
            <w:vAlign w:val="center"/>
          </w:tcPr>
          <w:p w:rsidR="003C69C1" w:rsidRDefault="008901F2">
            <w:pPr>
              <w:jc w:val="right"/>
            </w:pPr>
            <w:r>
              <w:rPr>
                <w:rFonts w:eastAsiaTheme="minorEastAsia"/>
                <w:color w:val="000000" w:themeColor="text1"/>
                <w:sz w:val="24"/>
              </w:rPr>
              <w:t>300,000</w:t>
            </w:r>
          </w:p>
        </w:tc>
        <w:tc>
          <w:tcPr>
            <w:tcW w:w="0" w:type="auto"/>
            <w:vAlign w:val="center"/>
          </w:tcPr>
          <w:p w:rsidR="003C69C1" w:rsidRDefault="008901F2">
            <w:pPr>
              <w:jc w:val="right"/>
            </w:pPr>
            <w:r>
              <w:rPr>
                <w:rFonts w:eastAsiaTheme="minorEastAsia"/>
                <w:color w:val="000000" w:themeColor="text1"/>
                <w:sz w:val="24"/>
              </w:rPr>
              <w:t>30,015,000.00</w:t>
            </w:r>
          </w:p>
        </w:tc>
        <w:tc>
          <w:tcPr>
            <w:tcW w:w="0" w:type="auto"/>
            <w:vAlign w:val="center"/>
          </w:tcPr>
          <w:p w:rsidR="003C69C1" w:rsidRDefault="008901F2">
            <w:pPr>
              <w:jc w:val="right"/>
            </w:pPr>
            <w:r>
              <w:rPr>
                <w:rFonts w:eastAsiaTheme="minorEastAsia"/>
                <w:color w:val="000000" w:themeColor="text1"/>
                <w:sz w:val="24"/>
              </w:rPr>
              <w:t>0.43</w:t>
            </w:r>
          </w:p>
        </w:tc>
      </w:tr>
      <w:tr w:rsidR="003C69C1">
        <w:tc>
          <w:tcPr>
            <w:tcW w:w="0" w:type="auto"/>
            <w:vAlign w:val="center"/>
          </w:tcPr>
          <w:p w:rsidR="003C69C1" w:rsidRDefault="008901F2">
            <w:pPr>
              <w:jc w:val="center"/>
            </w:pPr>
            <w:r>
              <w:rPr>
                <w:rFonts w:eastAsiaTheme="minorEastAsia"/>
                <w:color w:val="000000" w:themeColor="text1"/>
                <w:sz w:val="24"/>
              </w:rPr>
              <w:t>5</w:t>
            </w:r>
          </w:p>
        </w:tc>
        <w:tc>
          <w:tcPr>
            <w:tcW w:w="0" w:type="auto"/>
            <w:vAlign w:val="center"/>
          </w:tcPr>
          <w:p w:rsidR="003C69C1" w:rsidRDefault="008901F2">
            <w:pPr>
              <w:jc w:val="center"/>
            </w:pPr>
            <w:r>
              <w:rPr>
                <w:rFonts w:eastAsiaTheme="minorEastAsia"/>
                <w:color w:val="000000" w:themeColor="text1"/>
                <w:sz w:val="24"/>
              </w:rPr>
              <w:t>128085</w:t>
            </w:r>
          </w:p>
        </w:tc>
        <w:tc>
          <w:tcPr>
            <w:tcW w:w="0" w:type="auto"/>
            <w:vAlign w:val="center"/>
          </w:tcPr>
          <w:p w:rsidR="003C69C1" w:rsidRDefault="008901F2">
            <w:pPr>
              <w:jc w:val="center"/>
            </w:pPr>
            <w:r>
              <w:rPr>
                <w:rFonts w:eastAsiaTheme="minorEastAsia"/>
                <w:color w:val="000000" w:themeColor="text1"/>
                <w:sz w:val="24"/>
              </w:rPr>
              <w:t>鸿达转债</w:t>
            </w:r>
          </w:p>
        </w:tc>
        <w:tc>
          <w:tcPr>
            <w:tcW w:w="0" w:type="auto"/>
            <w:vAlign w:val="center"/>
          </w:tcPr>
          <w:p w:rsidR="003C69C1" w:rsidRDefault="008901F2">
            <w:pPr>
              <w:jc w:val="right"/>
            </w:pPr>
            <w:r>
              <w:rPr>
                <w:rFonts w:eastAsiaTheme="minorEastAsia"/>
                <w:color w:val="000000" w:themeColor="text1"/>
                <w:sz w:val="24"/>
              </w:rPr>
              <w:t>3,040</w:t>
            </w:r>
          </w:p>
        </w:tc>
        <w:tc>
          <w:tcPr>
            <w:tcW w:w="0" w:type="auto"/>
            <w:vAlign w:val="center"/>
          </w:tcPr>
          <w:p w:rsidR="003C69C1" w:rsidRDefault="008901F2">
            <w:pPr>
              <w:jc w:val="right"/>
            </w:pPr>
            <w:r>
              <w:rPr>
                <w:rFonts w:eastAsiaTheme="minorEastAsia"/>
                <w:color w:val="000000" w:themeColor="text1"/>
                <w:sz w:val="24"/>
              </w:rPr>
              <w:t>303,994.67</w:t>
            </w:r>
          </w:p>
        </w:tc>
        <w:tc>
          <w:tcPr>
            <w:tcW w:w="0" w:type="auto"/>
            <w:vAlign w:val="center"/>
          </w:tcPr>
          <w:p w:rsidR="003C69C1" w:rsidRDefault="008901F2">
            <w:pPr>
              <w:jc w:val="right"/>
            </w:pPr>
            <w:r>
              <w:rPr>
                <w:rFonts w:eastAsiaTheme="minorEastAsia"/>
                <w:color w:val="000000" w:themeColor="text1"/>
                <w:sz w:val="24"/>
              </w:rPr>
              <w:t>0.00</w:t>
            </w:r>
          </w:p>
        </w:tc>
      </w:tr>
    </w:tbl>
    <w:p w:rsidR="009238DB" w:rsidRPr="00B34368" w:rsidRDefault="009238DB"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5.</w:t>
      </w:r>
      <w:r w:rsidR="0040218E" w:rsidRPr="00B34368">
        <w:rPr>
          <w:rFonts w:eastAsiaTheme="minorEastAsia"/>
          <w:b/>
          <w:color w:val="000000" w:themeColor="text1"/>
          <w:kern w:val="0"/>
          <w:sz w:val="24"/>
        </w:rPr>
        <w:t>7</w:t>
      </w:r>
      <w:r w:rsidRPr="00B34368">
        <w:rPr>
          <w:rFonts w:eastAsiaTheme="minorEastAsia" w:hAnsiTheme="minorEastAsia"/>
          <w:b/>
          <w:color w:val="000000" w:themeColor="text1"/>
          <w:kern w:val="0"/>
          <w:sz w:val="24"/>
        </w:rPr>
        <w:t xml:space="preserve">　报告期末按公允价值占基金资产净值比例大小排</w:t>
      </w:r>
      <w:r w:rsidR="00E15FD1" w:rsidRPr="00B34368">
        <w:rPr>
          <w:rFonts w:eastAsiaTheme="minorEastAsia" w:hAnsiTheme="minorEastAsia"/>
          <w:b/>
          <w:color w:val="000000" w:themeColor="text1"/>
          <w:kern w:val="0"/>
          <w:sz w:val="24"/>
        </w:rPr>
        <w:t>序</w:t>
      </w:r>
      <w:r w:rsidRPr="00B34368">
        <w:rPr>
          <w:rFonts w:eastAsiaTheme="minorEastAsia" w:hAnsiTheme="minorEastAsia"/>
          <w:b/>
          <w:color w:val="000000" w:themeColor="text1"/>
          <w:kern w:val="0"/>
          <w:sz w:val="24"/>
        </w:rPr>
        <w:t>的前十名资产支持证券投资明细</w:t>
      </w:r>
    </w:p>
    <w:p w:rsidR="009238DB" w:rsidRPr="00B34368" w:rsidRDefault="00C260A2" w:rsidP="00B34368">
      <w:pPr>
        <w:autoSpaceDE w:val="0"/>
        <w:autoSpaceDN w:val="0"/>
        <w:adjustRightInd w:val="0"/>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本基金本报告期末未持有资产支持证券。</w:t>
      </w:r>
    </w:p>
    <w:p w:rsidR="00E15FD1" w:rsidRPr="00B34368" w:rsidRDefault="00E15FD1" w:rsidP="00C544B8">
      <w:pPr>
        <w:autoSpaceDE w:val="0"/>
        <w:autoSpaceDN w:val="0"/>
        <w:adjustRightInd w:val="0"/>
        <w:spacing w:beforeLines="100" w:before="312" w:line="360" w:lineRule="auto"/>
        <w:jc w:val="left"/>
        <w:rPr>
          <w:rFonts w:eastAsiaTheme="minorEastAsia"/>
          <w:b/>
          <w:bCs/>
          <w:color w:val="000000" w:themeColor="text1"/>
          <w:kern w:val="0"/>
          <w:sz w:val="24"/>
        </w:rPr>
      </w:pPr>
      <w:r w:rsidRPr="00B34368">
        <w:rPr>
          <w:rFonts w:eastAsiaTheme="minorEastAsia"/>
          <w:b/>
          <w:bCs/>
          <w:color w:val="000000" w:themeColor="text1"/>
          <w:kern w:val="0"/>
          <w:sz w:val="24"/>
        </w:rPr>
        <w:t xml:space="preserve">5.8 </w:t>
      </w:r>
      <w:r w:rsidRPr="00B34368">
        <w:rPr>
          <w:rFonts w:eastAsiaTheme="minorEastAsia" w:hAnsiTheme="minorEastAsia"/>
          <w:b/>
          <w:bCs/>
          <w:color w:val="000000" w:themeColor="text1"/>
          <w:kern w:val="0"/>
          <w:sz w:val="24"/>
        </w:rPr>
        <w:t>报告期末按公允价值占基金资产净值比例大小排序的前五名贵金属投资明细</w:t>
      </w:r>
    </w:p>
    <w:p w:rsidR="00E15FD1" w:rsidRPr="00B34368" w:rsidRDefault="00E15FD1" w:rsidP="00B34368">
      <w:pPr>
        <w:widowControl/>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本基金本报告期末未持有贵金属。</w:t>
      </w:r>
    </w:p>
    <w:p w:rsidR="009238DB" w:rsidRPr="00B34368" w:rsidRDefault="001D5CD0"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5</w:t>
      </w:r>
      <w:r w:rsidR="009238DB" w:rsidRPr="00B34368">
        <w:rPr>
          <w:rFonts w:eastAsiaTheme="minorEastAsia"/>
          <w:b/>
          <w:color w:val="000000" w:themeColor="text1"/>
          <w:kern w:val="0"/>
          <w:sz w:val="24"/>
        </w:rPr>
        <w:t>.</w:t>
      </w:r>
      <w:r w:rsidRPr="00B34368">
        <w:rPr>
          <w:rFonts w:eastAsiaTheme="minorEastAsia"/>
          <w:b/>
          <w:color w:val="000000" w:themeColor="text1"/>
          <w:kern w:val="0"/>
          <w:sz w:val="24"/>
        </w:rPr>
        <w:t>9</w:t>
      </w:r>
      <w:r w:rsidR="009238DB" w:rsidRPr="00B34368">
        <w:rPr>
          <w:rFonts w:eastAsiaTheme="minorEastAsia"/>
          <w:b/>
          <w:color w:val="000000" w:themeColor="text1"/>
          <w:kern w:val="0"/>
          <w:sz w:val="24"/>
        </w:rPr>
        <w:t xml:space="preserve"> </w:t>
      </w:r>
      <w:r w:rsidR="009238DB" w:rsidRPr="00B34368">
        <w:rPr>
          <w:rFonts w:eastAsiaTheme="minorEastAsia" w:hAnsiTheme="minorEastAsia"/>
          <w:b/>
          <w:color w:val="000000" w:themeColor="text1"/>
          <w:kern w:val="0"/>
          <w:sz w:val="24"/>
        </w:rPr>
        <w:t>报告</w:t>
      </w:r>
      <w:r w:rsidR="009238DB" w:rsidRPr="00B34368">
        <w:rPr>
          <w:rFonts w:eastAsiaTheme="minorEastAsia" w:hAnsiTheme="minorEastAsia"/>
          <w:b/>
          <w:bCs/>
          <w:color w:val="000000" w:themeColor="text1"/>
          <w:kern w:val="0"/>
          <w:sz w:val="24"/>
        </w:rPr>
        <w:t>期末</w:t>
      </w:r>
      <w:r w:rsidR="009238DB" w:rsidRPr="00B34368">
        <w:rPr>
          <w:rFonts w:eastAsiaTheme="minorEastAsia" w:hAnsiTheme="minorEastAsia"/>
          <w:b/>
          <w:color w:val="000000" w:themeColor="text1"/>
          <w:kern w:val="0"/>
          <w:sz w:val="24"/>
        </w:rPr>
        <w:t>按公允价值占基金资产净值比例大小排</w:t>
      </w:r>
      <w:r w:rsidR="006B3FDB" w:rsidRPr="00B34368">
        <w:rPr>
          <w:rFonts w:eastAsiaTheme="minorEastAsia" w:hAnsiTheme="minorEastAsia"/>
          <w:b/>
          <w:color w:val="000000" w:themeColor="text1"/>
          <w:kern w:val="0"/>
          <w:sz w:val="24"/>
        </w:rPr>
        <w:t>序</w:t>
      </w:r>
      <w:r w:rsidR="009238DB" w:rsidRPr="00B34368">
        <w:rPr>
          <w:rFonts w:eastAsiaTheme="minorEastAsia" w:hAnsiTheme="minorEastAsia"/>
          <w:b/>
          <w:color w:val="000000" w:themeColor="text1"/>
          <w:kern w:val="0"/>
          <w:sz w:val="24"/>
        </w:rPr>
        <w:t>的前五名权证投资明细</w:t>
      </w:r>
    </w:p>
    <w:p w:rsidR="001D5CD0" w:rsidRPr="00B34368" w:rsidRDefault="00C260A2" w:rsidP="00B34368">
      <w:pPr>
        <w:autoSpaceDE w:val="0"/>
        <w:autoSpaceDN w:val="0"/>
        <w:adjustRightInd w:val="0"/>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本基金本报告期末未持有权证。</w:t>
      </w:r>
    </w:p>
    <w:p w:rsidR="001D5CD0" w:rsidRPr="00B34368" w:rsidRDefault="001D5CD0" w:rsidP="00C544B8">
      <w:pPr>
        <w:autoSpaceDE w:val="0"/>
        <w:autoSpaceDN w:val="0"/>
        <w:adjustRightInd w:val="0"/>
        <w:spacing w:beforeLines="100" w:before="312" w:line="360" w:lineRule="auto"/>
        <w:jc w:val="left"/>
        <w:rPr>
          <w:rFonts w:eastAsiaTheme="minorEastAsia"/>
          <w:b/>
          <w:color w:val="000000" w:themeColor="text1"/>
          <w:sz w:val="24"/>
        </w:rPr>
      </w:pPr>
      <w:r w:rsidRPr="00B34368">
        <w:rPr>
          <w:rFonts w:eastAsiaTheme="minorEastAsia"/>
          <w:b/>
          <w:color w:val="000000" w:themeColor="text1"/>
          <w:sz w:val="24"/>
        </w:rPr>
        <w:t xml:space="preserve">5.10 </w:t>
      </w:r>
      <w:r w:rsidRPr="00B34368">
        <w:rPr>
          <w:rFonts w:eastAsiaTheme="minorEastAsia" w:hAnsiTheme="minorEastAsia"/>
          <w:b/>
          <w:color w:val="000000" w:themeColor="text1"/>
          <w:sz w:val="24"/>
        </w:rPr>
        <w:t>报告期末本基金投资的股指期货交易情况说明</w:t>
      </w:r>
    </w:p>
    <w:p w:rsidR="00D27EA0" w:rsidRPr="001B0A62" w:rsidRDefault="001D5CD0" w:rsidP="00D27EA0">
      <w:pPr>
        <w:autoSpaceDE w:val="0"/>
        <w:autoSpaceDN w:val="0"/>
        <w:adjustRightInd w:val="0"/>
        <w:spacing w:line="360" w:lineRule="auto"/>
        <w:jc w:val="left"/>
        <w:rPr>
          <w:rFonts w:ascii="宋体"/>
          <w:b/>
          <w:bCs/>
          <w:color w:val="000000"/>
          <w:kern w:val="0"/>
          <w:sz w:val="24"/>
        </w:rPr>
      </w:pPr>
      <w:r w:rsidRPr="00B34368">
        <w:rPr>
          <w:rFonts w:eastAsiaTheme="minorEastAsia"/>
          <w:b/>
          <w:color w:val="000000" w:themeColor="text1"/>
          <w:sz w:val="24"/>
        </w:rPr>
        <w:t xml:space="preserve">5.10.1 </w:t>
      </w:r>
      <w:r w:rsidRPr="00B34368">
        <w:rPr>
          <w:rFonts w:eastAsiaTheme="minorEastAsia" w:hAnsiTheme="minorEastAsia"/>
          <w:b/>
          <w:color w:val="000000" w:themeColor="text1"/>
          <w:sz w:val="24"/>
        </w:rPr>
        <w:t>报告期末本基金投资的股指期货持仓和损益明细</w:t>
      </w:r>
      <w:r w:rsidR="00D27EA0" w:rsidRPr="00D27EA0">
        <w:rPr>
          <w:rFonts w:ascii="宋体"/>
          <w:b/>
          <w:bCs/>
          <w:color w:val="000000"/>
          <w:kern w:val="0"/>
          <w:sz w:val="24"/>
        </w:rPr>
        <w:t xml:space="preserve"> </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303"/>
        <w:gridCol w:w="993"/>
        <w:gridCol w:w="1700"/>
        <w:gridCol w:w="1641"/>
        <w:gridCol w:w="2074"/>
      </w:tblGrid>
      <w:tr w:rsidR="00D27EA0" w:rsidRPr="00264E55" w:rsidTr="00BA7532">
        <w:trPr>
          <w:trHeight w:val="105"/>
          <w:jc w:val="center"/>
        </w:trPr>
        <w:tc>
          <w:tcPr>
            <w:tcW w:w="1134" w:type="dxa"/>
          </w:tcPr>
          <w:p w:rsidR="00D27EA0" w:rsidRPr="00FA472B" w:rsidRDefault="00D27EA0" w:rsidP="003F0E6C">
            <w:pPr>
              <w:pStyle w:val="Default"/>
              <w:rPr>
                <w:rFonts w:ascii="Times New Roman" w:hAnsi="Times New Roman" w:cs="Times New Roman"/>
              </w:rPr>
            </w:pPr>
            <w:r w:rsidRPr="00FA472B">
              <w:rPr>
                <w:rFonts w:ascii="Times New Roman" w:hAnsi="Times New Roman" w:cs="Times New Roman"/>
              </w:rPr>
              <w:t>代码</w:t>
            </w:r>
          </w:p>
        </w:tc>
        <w:tc>
          <w:tcPr>
            <w:tcW w:w="1303" w:type="dxa"/>
          </w:tcPr>
          <w:p w:rsidR="00D27EA0" w:rsidRPr="00FA472B" w:rsidRDefault="00D27EA0" w:rsidP="003F0E6C">
            <w:pPr>
              <w:pStyle w:val="Default"/>
              <w:rPr>
                <w:rFonts w:ascii="Times New Roman" w:hAnsi="Times New Roman" w:cs="Times New Roman"/>
              </w:rPr>
            </w:pPr>
            <w:r w:rsidRPr="00FA472B">
              <w:rPr>
                <w:rFonts w:ascii="Times New Roman" w:hAnsi="Times New Roman" w:cs="Times New Roman"/>
              </w:rPr>
              <w:t>名称</w:t>
            </w:r>
          </w:p>
        </w:tc>
        <w:tc>
          <w:tcPr>
            <w:tcW w:w="993" w:type="dxa"/>
          </w:tcPr>
          <w:p w:rsidR="00D27EA0" w:rsidRPr="00B227EA" w:rsidRDefault="00D27EA0" w:rsidP="003F0E6C">
            <w:pPr>
              <w:pStyle w:val="Default"/>
              <w:rPr>
                <w:rFonts w:ascii="Times New Roman" w:hAnsi="Times New Roman" w:cs="Times New Roman"/>
              </w:rPr>
            </w:pPr>
            <w:r w:rsidRPr="00B227EA">
              <w:rPr>
                <w:rFonts w:ascii="Times New Roman" w:hAnsi="Times New Roman" w:cs="Times New Roman"/>
              </w:rPr>
              <w:t>持仓量</w:t>
            </w:r>
          </w:p>
        </w:tc>
        <w:tc>
          <w:tcPr>
            <w:tcW w:w="1700" w:type="dxa"/>
          </w:tcPr>
          <w:p w:rsidR="00D27EA0" w:rsidRPr="00B227EA" w:rsidRDefault="00D27EA0" w:rsidP="003F0E6C">
            <w:pPr>
              <w:pStyle w:val="Default"/>
              <w:rPr>
                <w:rFonts w:ascii="Times New Roman" w:hAnsi="Times New Roman" w:cs="Times New Roman"/>
              </w:rPr>
            </w:pPr>
            <w:r w:rsidRPr="00B227EA">
              <w:rPr>
                <w:rFonts w:ascii="Times New Roman" w:hAnsi="Times New Roman" w:cs="Times New Roman"/>
              </w:rPr>
              <w:t>合约市值（元）</w:t>
            </w:r>
          </w:p>
        </w:tc>
        <w:tc>
          <w:tcPr>
            <w:tcW w:w="1641" w:type="dxa"/>
          </w:tcPr>
          <w:p w:rsidR="00D27EA0" w:rsidRPr="00B227EA" w:rsidRDefault="00D27EA0" w:rsidP="003F0E6C">
            <w:pPr>
              <w:pStyle w:val="Default"/>
              <w:rPr>
                <w:rFonts w:ascii="Times New Roman" w:hAnsi="Times New Roman" w:cs="Times New Roman"/>
              </w:rPr>
            </w:pPr>
            <w:r w:rsidRPr="00B227EA">
              <w:rPr>
                <w:rFonts w:ascii="Times New Roman" w:hAnsi="Times New Roman" w:cs="Times New Roman"/>
              </w:rPr>
              <w:t>公允价值变动（元）</w:t>
            </w:r>
          </w:p>
        </w:tc>
        <w:tc>
          <w:tcPr>
            <w:tcW w:w="2074" w:type="dxa"/>
          </w:tcPr>
          <w:p w:rsidR="00D27EA0" w:rsidRPr="00B227EA" w:rsidRDefault="00D27EA0" w:rsidP="003F0E6C">
            <w:pPr>
              <w:pStyle w:val="Default"/>
              <w:jc w:val="center"/>
              <w:rPr>
                <w:rFonts w:ascii="Times New Roman" w:hAnsi="Times New Roman" w:cs="Times New Roman"/>
                <w:color w:val="auto"/>
              </w:rPr>
            </w:pPr>
            <w:r w:rsidRPr="00B227EA">
              <w:rPr>
                <w:rFonts w:ascii="Times New Roman" w:hAnsi="Times New Roman" w:cs="Times New Roman"/>
                <w:color w:val="auto"/>
              </w:rPr>
              <w:t>风险说明</w:t>
            </w:r>
          </w:p>
        </w:tc>
      </w:tr>
      <w:tr w:rsidR="003C69C1">
        <w:trPr>
          <w:jc w:val="center"/>
        </w:trPr>
        <w:tc>
          <w:tcPr>
            <w:tcW w:w="0" w:type="auto"/>
            <w:vAlign w:val="center"/>
          </w:tcPr>
          <w:p w:rsidR="003C69C1" w:rsidRDefault="008901F2">
            <w:pPr>
              <w:jc w:val="center"/>
            </w:pPr>
            <w:r>
              <w:t>-</w:t>
            </w:r>
          </w:p>
        </w:tc>
        <w:tc>
          <w:tcPr>
            <w:tcW w:w="0" w:type="auto"/>
            <w:vAlign w:val="center"/>
          </w:tcPr>
          <w:p w:rsidR="003C69C1" w:rsidRDefault="008901F2">
            <w:pPr>
              <w:jc w:val="center"/>
            </w:pPr>
            <w:r>
              <w:t>-</w:t>
            </w:r>
          </w:p>
        </w:tc>
        <w:tc>
          <w:tcPr>
            <w:tcW w:w="0" w:type="auto"/>
            <w:vAlign w:val="center"/>
          </w:tcPr>
          <w:p w:rsidR="003C69C1" w:rsidRDefault="008901F2">
            <w:pPr>
              <w:jc w:val="center"/>
            </w:pPr>
            <w:r>
              <w:t>-</w:t>
            </w:r>
          </w:p>
        </w:tc>
        <w:tc>
          <w:tcPr>
            <w:tcW w:w="0" w:type="auto"/>
            <w:vAlign w:val="center"/>
          </w:tcPr>
          <w:p w:rsidR="003C69C1" w:rsidRDefault="008901F2">
            <w:pPr>
              <w:jc w:val="center"/>
            </w:pPr>
            <w:r>
              <w:t>-</w:t>
            </w:r>
          </w:p>
        </w:tc>
        <w:tc>
          <w:tcPr>
            <w:tcW w:w="0" w:type="auto"/>
            <w:vAlign w:val="center"/>
          </w:tcPr>
          <w:p w:rsidR="003C69C1" w:rsidRDefault="008901F2">
            <w:pPr>
              <w:jc w:val="center"/>
            </w:pPr>
            <w:r>
              <w:t>-</w:t>
            </w:r>
          </w:p>
        </w:tc>
        <w:tc>
          <w:tcPr>
            <w:tcW w:w="0" w:type="auto"/>
            <w:vAlign w:val="center"/>
          </w:tcPr>
          <w:p w:rsidR="003C69C1" w:rsidRDefault="008901F2">
            <w:pPr>
              <w:jc w:val="center"/>
            </w:pPr>
            <w:r>
              <w:t>-</w:t>
            </w:r>
          </w:p>
        </w:tc>
      </w:tr>
      <w:tr w:rsidR="00D27EA0" w:rsidRPr="00264E55" w:rsidTr="00BA7532">
        <w:trPr>
          <w:trHeight w:val="105"/>
          <w:jc w:val="center"/>
        </w:trPr>
        <w:tc>
          <w:tcPr>
            <w:tcW w:w="6771" w:type="dxa"/>
            <w:gridSpan w:val="5"/>
          </w:tcPr>
          <w:p w:rsidR="00D27EA0" w:rsidRPr="00FA472B" w:rsidRDefault="00D27EA0" w:rsidP="003F0E6C">
            <w:pPr>
              <w:pStyle w:val="Default"/>
              <w:rPr>
                <w:rFonts w:ascii="Times New Roman" w:hAnsi="Times New Roman" w:cs="Times New Roman"/>
              </w:rPr>
            </w:pPr>
            <w:r w:rsidRPr="00FA472B">
              <w:rPr>
                <w:rFonts w:ascii="Times New Roman" w:hAnsi="Times New Roman" w:cs="Times New Roman"/>
              </w:rPr>
              <w:t>公允价值变动总额合计</w:t>
            </w:r>
            <w:r w:rsidRPr="00FA472B">
              <w:rPr>
                <w:rFonts w:ascii="Times New Roman" w:hAnsi="Times New Roman" w:cs="Times New Roman"/>
              </w:rPr>
              <w:t>(</w:t>
            </w:r>
            <w:r w:rsidRPr="00FA472B">
              <w:rPr>
                <w:rFonts w:ascii="Times New Roman" w:hAnsi="Times New Roman" w:cs="Times New Roman"/>
              </w:rPr>
              <w:t>元</w:t>
            </w:r>
            <w:r w:rsidRPr="00FA472B">
              <w:rPr>
                <w:rFonts w:ascii="Times New Roman" w:hAnsi="Times New Roman" w:cs="Times New Roman"/>
              </w:rPr>
              <w:t>)</w:t>
            </w:r>
          </w:p>
        </w:tc>
        <w:tc>
          <w:tcPr>
            <w:tcW w:w="2074" w:type="dxa"/>
          </w:tcPr>
          <w:p w:rsidR="00D27EA0" w:rsidRPr="00FA472B" w:rsidRDefault="00D27EA0" w:rsidP="003F0E6C">
            <w:pPr>
              <w:pStyle w:val="Default"/>
              <w:jc w:val="right"/>
              <w:rPr>
                <w:rFonts w:ascii="Times New Roman" w:hAnsi="Times New Roman" w:cs="Times New Roman"/>
                <w:color w:val="auto"/>
              </w:rPr>
            </w:pPr>
            <w:r w:rsidRPr="00FA472B">
              <w:rPr>
                <w:rFonts w:ascii="Times New Roman" w:hAnsi="Times New Roman" w:cs="Times New Roman"/>
                <w:color w:val="auto"/>
              </w:rPr>
              <w:t>-</w:t>
            </w:r>
          </w:p>
        </w:tc>
      </w:tr>
      <w:tr w:rsidR="00D27EA0" w:rsidRPr="00264E55" w:rsidTr="00BA7532">
        <w:trPr>
          <w:trHeight w:val="105"/>
          <w:jc w:val="center"/>
        </w:trPr>
        <w:tc>
          <w:tcPr>
            <w:tcW w:w="6771" w:type="dxa"/>
            <w:gridSpan w:val="5"/>
          </w:tcPr>
          <w:p w:rsidR="00D27EA0" w:rsidRPr="00FA472B" w:rsidRDefault="00D27EA0" w:rsidP="003F0E6C">
            <w:pPr>
              <w:pStyle w:val="Default"/>
              <w:rPr>
                <w:rFonts w:ascii="Times New Roman" w:hAnsi="Times New Roman" w:cs="Times New Roman"/>
                <w:color w:val="auto"/>
              </w:rPr>
            </w:pPr>
            <w:r w:rsidRPr="00FA472B">
              <w:rPr>
                <w:rFonts w:ascii="Times New Roman" w:hAnsi="Times New Roman" w:cs="Times New Roman"/>
                <w:color w:val="auto"/>
              </w:rPr>
              <w:t>股指期货投资本期收益</w:t>
            </w:r>
            <w:r w:rsidRPr="00FA472B">
              <w:rPr>
                <w:rFonts w:ascii="Times New Roman" w:hAnsi="Times New Roman" w:cs="Times New Roman"/>
              </w:rPr>
              <w:t>(</w:t>
            </w:r>
            <w:r w:rsidRPr="00FA472B">
              <w:rPr>
                <w:rFonts w:ascii="Times New Roman" w:hAnsi="Times New Roman" w:cs="Times New Roman"/>
              </w:rPr>
              <w:t>元</w:t>
            </w:r>
            <w:r w:rsidRPr="00FA472B">
              <w:rPr>
                <w:rFonts w:ascii="Times New Roman" w:hAnsi="Times New Roman" w:cs="Times New Roman"/>
              </w:rPr>
              <w:t>)</w:t>
            </w:r>
          </w:p>
        </w:tc>
        <w:tc>
          <w:tcPr>
            <w:tcW w:w="2074" w:type="dxa"/>
          </w:tcPr>
          <w:p w:rsidR="00D27EA0" w:rsidRPr="00FA472B" w:rsidRDefault="00D27EA0" w:rsidP="003F0E6C">
            <w:pPr>
              <w:pStyle w:val="Default"/>
              <w:jc w:val="right"/>
              <w:rPr>
                <w:rFonts w:ascii="Times New Roman" w:hAnsi="Times New Roman" w:cs="Times New Roman"/>
                <w:color w:val="auto"/>
              </w:rPr>
            </w:pPr>
            <w:r w:rsidRPr="00FA472B">
              <w:rPr>
                <w:rFonts w:ascii="Times New Roman" w:hAnsi="Times New Roman" w:cs="Times New Roman"/>
                <w:color w:val="auto"/>
              </w:rPr>
              <w:t>-72,640.78</w:t>
            </w:r>
          </w:p>
        </w:tc>
      </w:tr>
      <w:tr w:rsidR="00D27EA0" w:rsidRPr="00264E55" w:rsidTr="00BA7532">
        <w:trPr>
          <w:trHeight w:val="105"/>
          <w:jc w:val="center"/>
        </w:trPr>
        <w:tc>
          <w:tcPr>
            <w:tcW w:w="6771" w:type="dxa"/>
            <w:gridSpan w:val="5"/>
          </w:tcPr>
          <w:p w:rsidR="00D27EA0" w:rsidRPr="00FA472B" w:rsidRDefault="00D27EA0" w:rsidP="003F0E6C">
            <w:pPr>
              <w:pStyle w:val="Default"/>
              <w:rPr>
                <w:rFonts w:ascii="Times New Roman" w:hAnsi="Times New Roman" w:cs="Times New Roman"/>
                <w:color w:val="auto"/>
              </w:rPr>
            </w:pPr>
            <w:r w:rsidRPr="00FA472B">
              <w:rPr>
                <w:rFonts w:ascii="Times New Roman" w:hAnsi="Times New Roman" w:cs="Times New Roman"/>
                <w:color w:val="auto"/>
              </w:rPr>
              <w:t>股指期货投资本期公允价值变动</w:t>
            </w:r>
            <w:r w:rsidRPr="00FA472B">
              <w:rPr>
                <w:rFonts w:ascii="Times New Roman" w:hAnsi="Times New Roman" w:cs="Times New Roman"/>
              </w:rPr>
              <w:t>(</w:t>
            </w:r>
            <w:r w:rsidRPr="00FA472B">
              <w:rPr>
                <w:rFonts w:ascii="Times New Roman" w:hAnsi="Times New Roman" w:cs="Times New Roman"/>
              </w:rPr>
              <w:t>元</w:t>
            </w:r>
            <w:r w:rsidRPr="00FA472B">
              <w:rPr>
                <w:rFonts w:ascii="Times New Roman" w:hAnsi="Times New Roman" w:cs="Times New Roman"/>
              </w:rPr>
              <w:t>)</w:t>
            </w:r>
          </w:p>
        </w:tc>
        <w:tc>
          <w:tcPr>
            <w:tcW w:w="2074" w:type="dxa"/>
          </w:tcPr>
          <w:p w:rsidR="00D27EA0" w:rsidRPr="00FA472B" w:rsidRDefault="00D27EA0" w:rsidP="003F0E6C">
            <w:pPr>
              <w:pStyle w:val="Default"/>
              <w:jc w:val="right"/>
              <w:rPr>
                <w:rFonts w:ascii="Times New Roman" w:hAnsi="Times New Roman" w:cs="Times New Roman"/>
                <w:color w:val="auto"/>
              </w:rPr>
            </w:pPr>
            <w:r w:rsidRPr="00FA472B">
              <w:rPr>
                <w:rFonts w:ascii="Times New Roman" w:hAnsi="Times New Roman" w:cs="Times New Roman"/>
                <w:color w:val="auto"/>
              </w:rPr>
              <w:t>-</w:t>
            </w:r>
          </w:p>
        </w:tc>
      </w:tr>
    </w:tbl>
    <w:p w:rsidR="001D5CD0" w:rsidRPr="00B34368" w:rsidRDefault="00D27EA0" w:rsidP="00D27EA0">
      <w:pPr>
        <w:spacing w:line="360" w:lineRule="auto"/>
        <w:ind w:firstLineChars="200" w:firstLine="480"/>
        <w:rPr>
          <w:rFonts w:eastAsiaTheme="minorEastAsia"/>
          <w:color w:val="000000" w:themeColor="text1"/>
          <w:sz w:val="24"/>
        </w:rPr>
      </w:pPr>
      <w:r w:rsidRPr="00D27EA0">
        <w:rPr>
          <w:rFonts w:eastAsiaTheme="minorEastAsia"/>
          <w:color w:val="000000" w:themeColor="text1"/>
          <w:sz w:val="24"/>
        </w:rPr>
        <w:t>注：本基金本报告期末未投资股指期货。</w:t>
      </w:r>
    </w:p>
    <w:p w:rsidR="001D5CD0" w:rsidRPr="00B34368" w:rsidRDefault="001D5CD0" w:rsidP="00C544B8">
      <w:pPr>
        <w:adjustRightInd w:val="0"/>
        <w:snapToGrid w:val="0"/>
        <w:spacing w:beforeLines="100" w:before="312" w:line="360" w:lineRule="auto"/>
        <w:rPr>
          <w:rFonts w:eastAsiaTheme="minorEastAsia"/>
          <w:b/>
          <w:color w:val="000000" w:themeColor="text1"/>
          <w:sz w:val="24"/>
        </w:rPr>
      </w:pPr>
      <w:r w:rsidRPr="00B34368">
        <w:rPr>
          <w:rFonts w:eastAsiaTheme="minorEastAsia"/>
          <w:b/>
          <w:color w:val="000000" w:themeColor="text1"/>
          <w:sz w:val="24"/>
        </w:rPr>
        <w:t xml:space="preserve">5.10.2 </w:t>
      </w:r>
      <w:r w:rsidRPr="00B34368">
        <w:rPr>
          <w:rFonts w:eastAsiaTheme="minorEastAsia" w:hAnsiTheme="minorEastAsia"/>
          <w:b/>
          <w:color w:val="000000" w:themeColor="text1"/>
          <w:sz w:val="24"/>
        </w:rPr>
        <w:t>本基金投资股指期货的投资政策</w:t>
      </w:r>
    </w:p>
    <w:p w:rsidR="001D5CD0" w:rsidRPr="00B34368" w:rsidRDefault="001D5CD0"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本基金可投资股指期货和其他经中国证监会允许的衍生金融产品。本基金将根据风险管理的原则，以套期保值为目的，按照相关法律法规的有关规定，主要选择流动性好、交易活跃的股指期货合约来进行投资。本基金在出现大额净申赎等需要及时调整组合市场暴露情况时，通过股指期货套保交易满足基金的投资替代需求和风险管理需求。本基金力争利用股指期货的杠杆作用，降低股票仓位频繁调整的交易成本和跟踪误差，达到有效跟踪标的指数的目的。本基金投资股指期货符合既定的投资政策和投资目的。</w:t>
      </w:r>
    </w:p>
    <w:p w:rsidR="001D5CD0" w:rsidRPr="00B34368" w:rsidRDefault="001D5CD0" w:rsidP="00C544B8">
      <w:pPr>
        <w:adjustRightInd w:val="0"/>
        <w:snapToGrid w:val="0"/>
        <w:spacing w:beforeLines="100" w:before="312" w:line="360" w:lineRule="auto"/>
        <w:rPr>
          <w:rFonts w:eastAsiaTheme="minorEastAsia"/>
          <w:b/>
          <w:color w:val="000000" w:themeColor="text1"/>
          <w:sz w:val="24"/>
        </w:rPr>
      </w:pPr>
      <w:r w:rsidRPr="00B34368">
        <w:rPr>
          <w:rFonts w:eastAsiaTheme="minorEastAsia"/>
          <w:b/>
          <w:color w:val="000000" w:themeColor="text1"/>
          <w:sz w:val="24"/>
        </w:rPr>
        <w:t>5.11</w:t>
      </w:r>
      <w:r w:rsidRPr="00B34368">
        <w:rPr>
          <w:rFonts w:eastAsiaTheme="minorEastAsia" w:hAnsiTheme="minorEastAsia"/>
          <w:b/>
          <w:color w:val="000000" w:themeColor="text1"/>
          <w:sz w:val="24"/>
        </w:rPr>
        <w:t>报告期末本基金投资的国债期货交易情况说明</w:t>
      </w:r>
    </w:p>
    <w:p w:rsidR="00985F0E" w:rsidRDefault="00985F0E" w:rsidP="00985F0E">
      <w:pPr>
        <w:spacing w:line="360" w:lineRule="auto"/>
        <w:ind w:firstLineChars="200" w:firstLine="480"/>
      </w:pPr>
      <w:r w:rsidRPr="00DF18FE">
        <w:rPr>
          <w:color w:val="000000"/>
          <w:sz w:val="24"/>
        </w:rPr>
        <w:t>本基金本报告期末未投资国债期货。</w:t>
      </w:r>
    </w:p>
    <w:p w:rsidR="001D5CD0" w:rsidRPr="00B34368" w:rsidRDefault="001D5CD0"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5.12</w:t>
      </w:r>
      <w:r w:rsidRPr="00B34368">
        <w:rPr>
          <w:rFonts w:eastAsiaTheme="minorEastAsia" w:hAnsiTheme="minorEastAsia"/>
          <w:b/>
          <w:color w:val="000000" w:themeColor="text1"/>
          <w:kern w:val="0"/>
          <w:sz w:val="24"/>
        </w:rPr>
        <w:t>投资组合报告附注</w:t>
      </w:r>
    </w:p>
    <w:p w:rsidR="000C3452" w:rsidRPr="00B34368" w:rsidRDefault="000C3452" w:rsidP="000C3452">
      <w:pPr>
        <w:widowControl/>
        <w:spacing w:line="360" w:lineRule="auto"/>
        <w:rPr>
          <w:rFonts w:eastAsiaTheme="minorEastAsia"/>
          <w:color w:val="000000" w:themeColor="text1"/>
          <w:sz w:val="24"/>
        </w:rPr>
      </w:pPr>
      <w:r w:rsidRPr="00B34368">
        <w:rPr>
          <w:rFonts w:eastAsiaTheme="minorEastAsia"/>
          <w:color w:val="000000" w:themeColor="text1"/>
          <w:sz w:val="24"/>
        </w:rPr>
        <w:t>5.12.12019</w:t>
      </w:r>
      <w:r w:rsidRPr="00B34368">
        <w:rPr>
          <w:rFonts w:eastAsiaTheme="minorEastAsia"/>
          <w:color w:val="000000" w:themeColor="text1"/>
          <w:sz w:val="24"/>
        </w:rPr>
        <w:t>年</w:t>
      </w:r>
      <w:r w:rsidRPr="00B34368">
        <w:rPr>
          <w:rFonts w:eastAsiaTheme="minorEastAsia"/>
          <w:color w:val="000000" w:themeColor="text1"/>
          <w:sz w:val="24"/>
        </w:rPr>
        <w:t>7</w:t>
      </w:r>
      <w:r w:rsidRPr="00B34368">
        <w:rPr>
          <w:rFonts w:eastAsiaTheme="minorEastAsia"/>
          <w:color w:val="000000" w:themeColor="text1"/>
          <w:sz w:val="24"/>
        </w:rPr>
        <w:t>月</w:t>
      </w:r>
      <w:r w:rsidRPr="00B34368">
        <w:rPr>
          <w:rFonts w:eastAsiaTheme="minorEastAsia"/>
          <w:color w:val="000000" w:themeColor="text1"/>
          <w:sz w:val="24"/>
        </w:rPr>
        <w:t>8</w:t>
      </w:r>
      <w:r w:rsidRPr="00B34368">
        <w:rPr>
          <w:rFonts w:eastAsiaTheme="minorEastAsia"/>
          <w:color w:val="000000" w:themeColor="text1"/>
          <w:sz w:val="24"/>
        </w:rPr>
        <w:t>日，中国银行保险监督管理委员会上海监管局针对兴业银行股份有限公司信用卡中心</w:t>
      </w:r>
      <w:r w:rsidRPr="00B34368">
        <w:rPr>
          <w:rFonts w:eastAsiaTheme="minorEastAsia"/>
          <w:color w:val="000000" w:themeColor="text1"/>
          <w:sz w:val="24"/>
        </w:rPr>
        <w:t>1</w:t>
      </w:r>
      <w:r w:rsidRPr="00B34368">
        <w:rPr>
          <w:rFonts w:eastAsiaTheme="minorEastAsia"/>
          <w:color w:val="000000" w:themeColor="text1"/>
          <w:sz w:val="24"/>
        </w:rPr>
        <w:t>、</w:t>
      </w:r>
      <w:r w:rsidRPr="00B34368">
        <w:rPr>
          <w:rFonts w:eastAsiaTheme="minorEastAsia"/>
          <w:color w:val="000000" w:themeColor="text1"/>
          <w:sz w:val="24"/>
        </w:rPr>
        <w:t>2016</w:t>
      </w:r>
      <w:r w:rsidRPr="00B34368">
        <w:rPr>
          <w:rFonts w:eastAsiaTheme="minorEastAsia"/>
          <w:color w:val="000000" w:themeColor="text1"/>
          <w:sz w:val="24"/>
        </w:rPr>
        <w:t>年</w:t>
      </w:r>
      <w:r w:rsidRPr="00B34368">
        <w:rPr>
          <w:rFonts w:eastAsiaTheme="minorEastAsia"/>
          <w:color w:val="000000" w:themeColor="text1"/>
          <w:sz w:val="24"/>
        </w:rPr>
        <w:t>1</w:t>
      </w:r>
      <w:r w:rsidRPr="00B34368">
        <w:rPr>
          <w:rFonts w:eastAsiaTheme="minorEastAsia"/>
          <w:color w:val="000000" w:themeColor="text1"/>
          <w:sz w:val="24"/>
        </w:rPr>
        <w:t>月至</w:t>
      </w:r>
      <w:r w:rsidRPr="00B34368">
        <w:rPr>
          <w:rFonts w:eastAsiaTheme="minorEastAsia"/>
          <w:color w:val="000000" w:themeColor="text1"/>
          <w:sz w:val="24"/>
        </w:rPr>
        <w:t>2018</w:t>
      </w:r>
      <w:r w:rsidRPr="00B34368">
        <w:rPr>
          <w:rFonts w:eastAsiaTheme="minorEastAsia"/>
          <w:color w:val="000000" w:themeColor="text1"/>
          <w:sz w:val="24"/>
        </w:rPr>
        <w:t>年</w:t>
      </w:r>
      <w:r w:rsidRPr="00B34368">
        <w:rPr>
          <w:rFonts w:eastAsiaTheme="minorEastAsia"/>
          <w:color w:val="000000" w:themeColor="text1"/>
          <w:sz w:val="24"/>
        </w:rPr>
        <w:t>1</w:t>
      </w:r>
      <w:r w:rsidRPr="00B34368">
        <w:rPr>
          <w:rFonts w:eastAsiaTheme="minorEastAsia"/>
          <w:color w:val="000000" w:themeColor="text1"/>
          <w:sz w:val="24"/>
        </w:rPr>
        <w:t>月在为部分客户办理信用卡业务时未遵守总授信额度管理制度；</w:t>
      </w:r>
      <w:r w:rsidRPr="00B34368">
        <w:rPr>
          <w:rFonts w:eastAsiaTheme="minorEastAsia"/>
          <w:color w:val="000000" w:themeColor="text1"/>
          <w:sz w:val="24"/>
        </w:rPr>
        <w:t>2</w:t>
      </w:r>
      <w:r w:rsidRPr="00B34368">
        <w:rPr>
          <w:rFonts w:eastAsiaTheme="minorEastAsia"/>
          <w:color w:val="000000" w:themeColor="text1"/>
          <w:sz w:val="24"/>
        </w:rPr>
        <w:t>、</w:t>
      </w:r>
      <w:r w:rsidRPr="00B34368">
        <w:rPr>
          <w:rFonts w:eastAsiaTheme="minorEastAsia"/>
          <w:color w:val="000000" w:themeColor="text1"/>
          <w:sz w:val="24"/>
        </w:rPr>
        <w:t>2016</w:t>
      </w:r>
      <w:r w:rsidRPr="00B34368">
        <w:rPr>
          <w:rFonts w:eastAsiaTheme="minorEastAsia"/>
          <w:color w:val="000000" w:themeColor="text1"/>
          <w:sz w:val="24"/>
        </w:rPr>
        <w:t>年至</w:t>
      </w:r>
      <w:r w:rsidRPr="00B34368">
        <w:rPr>
          <w:rFonts w:eastAsiaTheme="minorEastAsia"/>
          <w:color w:val="000000" w:themeColor="text1"/>
          <w:sz w:val="24"/>
        </w:rPr>
        <w:t>2018</w:t>
      </w:r>
      <w:r w:rsidRPr="00B34368">
        <w:rPr>
          <w:rFonts w:eastAsiaTheme="minorEastAsia"/>
          <w:color w:val="000000" w:themeColor="text1"/>
          <w:sz w:val="24"/>
        </w:rPr>
        <w:t>年</w:t>
      </w:r>
      <w:r w:rsidRPr="00B34368">
        <w:rPr>
          <w:rFonts w:eastAsiaTheme="minorEastAsia"/>
          <w:color w:val="000000" w:themeColor="text1"/>
          <w:sz w:val="24"/>
        </w:rPr>
        <w:t>8</w:t>
      </w:r>
      <w:r w:rsidRPr="00B34368">
        <w:rPr>
          <w:rFonts w:eastAsiaTheme="minorEastAsia"/>
          <w:color w:val="000000" w:themeColor="text1"/>
          <w:sz w:val="24"/>
        </w:rPr>
        <w:t>月对部分信用卡申请人资信水平调查严重不尽职的违法违规行为，责令改正，并处罚款</w:t>
      </w:r>
      <w:r w:rsidRPr="00B34368">
        <w:rPr>
          <w:rFonts w:eastAsiaTheme="minorEastAsia"/>
          <w:color w:val="000000" w:themeColor="text1"/>
          <w:sz w:val="24"/>
        </w:rPr>
        <w:t>40</w:t>
      </w:r>
      <w:r w:rsidRPr="00B34368">
        <w:rPr>
          <w:rFonts w:eastAsiaTheme="minorEastAsia"/>
          <w:color w:val="000000" w:themeColor="text1"/>
          <w:sz w:val="24"/>
        </w:rPr>
        <w:t>万元。</w:t>
      </w:r>
    </w:p>
    <w:p w:rsidR="003C69C1" w:rsidRDefault="008901F2">
      <w:pPr>
        <w:widowControl/>
        <w:spacing w:line="360" w:lineRule="auto"/>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w:t>
      </w:r>
      <w:r>
        <w:rPr>
          <w:rFonts w:eastAsiaTheme="minorEastAsia"/>
          <w:color w:val="000000" w:themeColor="text1"/>
          <w:sz w:val="24"/>
        </w:rPr>
        <w:t>8</w:t>
      </w:r>
      <w:r>
        <w:rPr>
          <w:rFonts w:eastAsiaTheme="minorEastAsia"/>
          <w:color w:val="000000" w:themeColor="text1"/>
          <w:sz w:val="24"/>
        </w:rPr>
        <w:t>日，中国银行保险监督管理委员会上海监管局对招商银行股份有限公司信用卡中心</w:t>
      </w:r>
      <w:r>
        <w:rPr>
          <w:rFonts w:eastAsiaTheme="minorEastAsia"/>
          <w:color w:val="000000" w:themeColor="text1"/>
          <w:sz w:val="24"/>
        </w:rPr>
        <w:t>2016</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月至</w:t>
      </w:r>
      <w:r>
        <w:rPr>
          <w:rFonts w:eastAsiaTheme="minorEastAsia"/>
          <w:color w:val="000000" w:themeColor="text1"/>
          <w:sz w:val="24"/>
        </w:rPr>
        <w:t>2018</w:t>
      </w:r>
      <w:r>
        <w:rPr>
          <w:rFonts w:eastAsiaTheme="minorEastAsia"/>
          <w:color w:val="000000" w:themeColor="text1"/>
          <w:sz w:val="24"/>
        </w:rPr>
        <w:t>年</w:t>
      </w:r>
      <w:r>
        <w:rPr>
          <w:rFonts w:eastAsiaTheme="minorEastAsia"/>
          <w:color w:val="000000" w:themeColor="text1"/>
          <w:sz w:val="24"/>
        </w:rPr>
        <w:t>6</w:t>
      </w:r>
      <w:r>
        <w:rPr>
          <w:rFonts w:eastAsiaTheme="minorEastAsia"/>
          <w:color w:val="000000" w:themeColor="text1"/>
          <w:sz w:val="24"/>
        </w:rPr>
        <w:t>月在为部分客户办理信用卡业务时，未遵守总授信额度管理制度的违法违规事实，责令改正，并处罚款</w:t>
      </w:r>
      <w:r>
        <w:rPr>
          <w:rFonts w:eastAsiaTheme="minorEastAsia"/>
          <w:color w:val="000000" w:themeColor="text1"/>
          <w:sz w:val="24"/>
        </w:rPr>
        <w:t>20</w:t>
      </w:r>
      <w:r>
        <w:rPr>
          <w:rFonts w:eastAsiaTheme="minorEastAsia"/>
          <w:color w:val="000000" w:themeColor="text1"/>
          <w:sz w:val="24"/>
        </w:rPr>
        <w:t>万元。</w:t>
      </w:r>
    </w:p>
    <w:p w:rsidR="003C69C1" w:rsidRDefault="008901F2">
      <w:pPr>
        <w:widowControl/>
        <w:spacing w:line="360" w:lineRule="auto"/>
        <w:rPr>
          <w:rFonts w:eastAsiaTheme="minorEastAsia"/>
          <w:color w:val="000000" w:themeColor="text1"/>
          <w:sz w:val="24"/>
        </w:rPr>
      </w:pPr>
      <w:r>
        <w:rPr>
          <w:rFonts w:eastAsiaTheme="minorEastAsia"/>
          <w:color w:val="000000" w:themeColor="text1"/>
          <w:sz w:val="24"/>
        </w:rPr>
        <w:t>本基金为目标</w:t>
      </w:r>
      <w:r>
        <w:rPr>
          <w:rFonts w:eastAsiaTheme="minorEastAsia"/>
          <w:color w:val="000000" w:themeColor="text1"/>
          <w:sz w:val="24"/>
        </w:rPr>
        <w:t>ETF</w:t>
      </w:r>
      <w:r>
        <w:rPr>
          <w:rFonts w:eastAsiaTheme="minorEastAsia"/>
          <w:color w:val="000000" w:themeColor="text1"/>
          <w:sz w:val="24"/>
        </w:rPr>
        <w:t>的联接基金，上述股票系标的指数成份股，上述股票的投资决策程序符合公司投资制度的规定。除招商银行、兴业银行外，本基金的目标</w:t>
      </w:r>
      <w:r>
        <w:rPr>
          <w:rFonts w:eastAsiaTheme="minorEastAsia"/>
          <w:color w:val="000000" w:themeColor="text1"/>
          <w:sz w:val="24"/>
        </w:rPr>
        <w:t>ETF</w:t>
      </w:r>
      <w:r>
        <w:rPr>
          <w:rFonts w:eastAsiaTheme="minorEastAsia"/>
          <w:color w:val="000000" w:themeColor="text1"/>
          <w:sz w:val="24"/>
        </w:rPr>
        <w:t>投资的前十名证券的发行主体本期没有出现被监管部门立案调查，或在报告编制日前一年内受到公开谴责、处罚的情形。除招商银行外，本基金投资的前十名证券的发行主</w:t>
      </w:r>
      <w:r>
        <w:rPr>
          <w:rFonts w:eastAsiaTheme="minorEastAsia"/>
          <w:color w:val="000000" w:themeColor="text1"/>
          <w:sz w:val="24"/>
        </w:rPr>
        <w:t>体本期没有出现被监管部门立案调查，或在报告编制日前一年内受到公开谴责、处罚的情形。</w:t>
      </w:r>
    </w:p>
    <w:p w:rsidR="000C3452" w:rsidRPr="00B34368" w:rsidRDefault="000C3452" w:rsidP="000C3452">
      <w:pPr>
        <w:widowControl/>
        <w:spacing w:line="360" w:lineRule="auto"/>
        <w:rPr>
          <w:rFonts w:eastAsiaTheme="minorEastAsia"/>
          <w:color w:val="000000" w:themeColor="text1"/>
          <w:sz w:val="24"/>
        </w:rPr>
      </w:pPr>
      <w:r w:rsidRPr="00B34368">
        <w:rPr>
          <w:rFonts w:eastAsiaTheme="minorEastAsia"/>
          <w:color w:val="000000" w:themeColor="text1"/>
          <w:sz w:val="24"/>
        </w:rPr>
        <w:t>5.12.2</w:t>
      </w:r>
      <w:r w:rsidRPr="00B34368">
        <w:rPr>
          <w:rFonts w:eastAsiaTheme="minorEastAsia"/>
          <w:color w:val="000000" w:themeColor="text1"/>
          <w:sz w:val="24"/>
        </w:rPr>
        <w:t>本基金投资的前十名股票没有超出基金合同规定的备选股票库。</w:t>
      </w:r>
    </w:p>
    <w:p w:rsidR="001D5CD0" w:rsidRPr="00B34368" w:rsidRDefault="001D5CD0" w:rsidP="001D5CD0">
      <w:pPr>
        <w:autoSpaceDE w:val="0"/>
        <w:autoSpaceDN w:val="0"/>
        <w:adjustRightInd w:val="0"/>
        <w:spacing w:line="360" w:lineRule="auto"/>
        <w:rPr>
          <w:rFonts w:eastAsiaTheme="minorEastAsia"/>
          <w:b/>
          <w:color w:val="000000" w:themeColor="text1"/>
          <w:kern w:val="0"/>
          <w:sz w:val="24"/>
        </w:rPr>
      </w:pPr>
      <w:r w:rsidRPr="00B34368">
        <w:rPr>
          <w:rFonts w:eastAsiaTheme="minorEastAsia"/>
          <w:b/>
          <w:color w:val="000000" w:themeColor="text1"/>
          <w:kern w:val="0"/>
          <w:sz w:val="24"/>
        </w:rPr>
        <w:t>5.12.3</w:t>
      </w:r>
      <w:r w:rsidRPr="00B34368">
        <w:rPr>
          <w:rFonts w:eastAsiaTheme="minorEastAsia" w:hAnsiTheme="minorEastAsia"/>
          <w:b/>
          <w:color w:val="000000" w:themeColor="text1"/>
          <w:kern w:val="0"/>
          <w:sz w:val="24"/>
        </w:rPr>
        <w:t>其他各项资产构成</w:t>
      </w:r>
    </w:p>
    <w:tbl>
      <w:tblPr>
        <w:tblStyle w:val="af2"/>
        <w:tblW w:w="0" w:type="auto"/>
        <w:tblInd w:w="108" w:type="dxa"/>
        <w:tblLook w:val="04A0" w:firstRow="1" w:lastRow="0" w:firstColumn="1" w:lastColumn="0" w:noHBand="0" w:noVBand="1"/>
      </w:tblPr>
      <w:tblGrid>
        <w:gridCol w:w="1235"/>
        <w:gridCol w:w="2761"/>
        <w:gridCol w:w="4808"/>
      </w:tblGrid>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7"/>
              <w:jc w:val="center"/>
              <w:rPr>
                <w:rFonts w:eastAsiaTheme="minorEastAsia"/>
                <w:color w:val="000000" w:themeColor="text1"/>
                <w:kern w:val="0"/>
                <w:sz w:val="24"/>
              </w:rPr>
            </w:pPr>
            <w:r w:rsidRPr="00B34368">
              <w:rPr>
                <w:rFonts w:eastAsiaTheme="minorEastAsia" w:hAnsiTheme="minorEastAsia"/>
                <w:color w:val="000000" w:themeColor="text1"/>
                <w:kern w:val="0"/>
                <w:sz w:val="24"/>
              </w:rPr>
              <w:t>序号</w:t>
            </w:r>
          </w:p>
        </w:tc>
        <w:tc>
          <w:tcPr>
            <w:tcW w:w="2761" w:type="dxa"/>
            <w:vAlign w:val="center"/>
          </w:tcPr>
          <w:p w:rsidR="001D5CD0" w:rsidRPr="00B34368" w:rsidRDefault="001D5CD0" w:rsidP="00AE2AD2">
            <w:pPr>
              <w:autoSpaceDE w:val="0"/>
              <w:autoSpaceDN w:val="0"/>
              <w:adjustRightInd w:val="0"/>
              <w:spacing w:before="29" w:line="360" w:lineRule="auto"/>
              <w:ind w:left="17"/>
              <w:jc w:val="center"/>
              <w:rPr>
                <w:rFonts w:eastAsiaTheme="minorEastAsia"/>
                <w:color w:val="000000" w:themeColor="text1"/>
                <w:kern w:val="0"/>
                <w:sz w:val="24"/>
              </w:rPr>
            </w:pPr>
            <w:r w:rsidRPr="00B34368">
              <w:rPr>
                <w:rFonts w:eastAsiaTheme="minorEastAsia" w:hAnsiTheme="minorEastAsia"/>
                <w:color w:val="000000" w:themeColor="text1"/>
                <w:kern w:val="0"/>
                <w:sz w:val="24"/>
              </w:rPr>
              <w:t>名称</w:t>
            </w:r>
          </w:p>
        </w:tc>
        <w:tc>
          <w:tcPr>
            <w:tcW w:w="4808" w:type="dxa"/>
            <w:vAlign w:val="center"/>
          </w:tcPr>
          <w:p w:rsidR="001D5CD0" w:rsidRPr="00B34368" w:rsidRDefault="001D5CD0" w:rsidP="00AE2AD2">
            <w:pPr>
              <w:autoSpaceDE w:val="0"/>
              <w:autoSpaceDN w:val="0"/>
              <w:adjustRightInd w:val="0"/>
              <w:spacing w:before="29" w:line="360" w:lineRule="auto"/>
              <w:ind w:left="17"/>
              <w:jc w:val="center"/>
              <w:rPr>
                <w:rFonts w:eastAsiaTheme="minorEastAsia"/>
                <w:color w:val="000000" w:themeColor="text1"/>
                <w:kern w:val="0"/>
                <w:sz w:val="24"/>
              </w:rPr>
            </w:pPr>
            <w:r w:rsidRPr="00B34368">
              <w:rPr>
                <w:rFonts w:eastAsiaTheme="minorEastAsia" w:hAnsiTheme="minorEastAsia"/>
                <w:color w:val="000000" w:themeColor="text1"/>
                <w:kern w:val="0"/>
                <w:sz w:val="24"/>
              </w:rPr>
              <w:t>金额</w:t>
            </w:r>
            <w:r w:rsidRPr="00B34368">
              <w:rPr>
                <w:rFonts w:eastAsiaTheme="minorEastAsia"/>
                <w:color w:val="000000" w:themeColor="text1"/>
                <w:kern w:val="0"/>
                <w:sz w:val="24"/>
              </w:rPr>
              <w:t>(</w:t>
            </w:r>
            <w:r w:rsidRPr="00B34368">
              <w:rPr>
                <w:rFonts w:eastAsiaTheme="minorEastAsia" w:hAnsiTheme="minorEastAsia"/>
                <w:color w:val="000000" w:themeColor="text1"/>
                <w:kern w:val="0"/>
                <w:sz w:val="24"/>
              </w:rPr>
              <w:t>元</w:t>
            </w:r>
            <w:r w:rsidRPr="00B34368">
              <w:rPr>
                <w:rFonts w:eastAsiaTheme="minorEastAsia"/>
                <w:color w:val="000000" w:themeColor="text1"/>
                <w:kern w:val="0"/>
                <w:sz w:val="24"/>
              </w:rPr>
              <w:t>)</w:t>
            </w:r>
          </w:p>
        </w:tc>
      </w:tr>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5"/>
              <w:jc w:val="center"/>
              <w:rPr>
                <w:rFonts w:eastAsiaTheme="minorEastAsia"/>
                <w:color w:val="000000" w:themeColor="text1"/>
                <w:kern w:val="0"/>
                <w:sz w:val="24"/>
              </w:rPr>
            </w:pPr>
            <w:r w:rsidRPr="00B34368">
              <w:rPr>
                <w:rFonts w:eastAsiaTheme="minorEastAsia"/>
                <w:color w:val="000000" w:themeColor="text1"/>
                <w:sz w:val="24"/>
              </w:rPr>
              <w:t>1</w:t>
            </w:r>
          </w:p>
        </w:tc>
        <w:tc>
          <w:tcPr>
            <w:tcW w:w="2761" w:type="dxa"/>
            <w:vAlign w:val="center"/>
          </w:tcPr>
          <w:p w:rsidR="001D5CD0" w:rsidRPr="00B34368" w:rsidRDefault="001D5CD0" w:rsidP="00AE2AD2">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存出保证金</w:t>
            </w:r>
          </w:p>
        </w:tc>
        <w:tc>
          <w:tcPr>
            <w:tcW w:w="4808" w:type="dxa"/>
            <w:vAlign w:val="center"/>
          </w:tcPr>
          <w:p w:rsidR="001D5CD0" w:rsidRPr="00B34368" w:rsidRDefault="001D5CD0" w:rsidP="00AE2AD2">
            <w:pPr>
              <w:autoSpaceDE w:val="0"/>
              <w:autoSpaceDN w:val="0"/>
              <w:adjustRightInd w:val="0"/>
              <w:spacing w:before="29" w:line="360" w:lineRule="auto"/>
              <w:ind w:left="15"/>
              <w:jc w:val="right"/>
              <w:rPr>
                <w:rFonts w:eastAsiaTheme="minorEastAsia"/>
                <w:color w:val="000000" w:themeColor="text1"/>
                <w:kern w:val="0"/>
                <w:sz w:val="24"/>
              </w:rPr>
            </w:pPr>
            <w:r w:rsidRPr="00B34368">
              <w:rPr>
                <w:rFonts w:eastAsiaTheme="minorEastAsia"/>
                <w:color w:val="000000" w:themeColor="text1"/>
                <w:kern w:val="0"/>
                <w:sz w:val="24"/>
              </w:rPr>
              <w:t>775,813.77</w:t>
            </w:r>
          </w:p>
        </w:tc>
      </w:tr>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5"/>
              <w:jc w:val="center"/>
              <w:rPr>
                <w:rFonts w:eastAsiaTheme="minorEastAsia"/>
                <w:color w:val="000000" w:themeColor="text1"/>
                <w:sz w:val="24"/>
              </w:rPr>
            </w:pPr>
            <w:r w:rsidRPr="00B34368">
              <w:rPr>
                <w:rFonts w:eastAsiaTheme="minorEastAsia"/>
                <w:color w:val="000000" w:themeColor="text1"/>
                <w:sz w:val="24"/>
              </w:rPr>
              <w:t>2</w:t>
            </w:r>
          </w:p>
        </w:tc>
        <w:tc>
          <w:tcPr>
            <w:tcW w:w="2761" w:type="dxa"/>
            <w:vAlign w:val="center"/>
          </w:tcPr>
          <w:p w:rsidR="001D5CD0" w:rsidRPr="00B34368" w:rsidRDefault="001D5CD0" w:rsidP="00AE2AD2">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应收证券清算款</w:t>
            </w:r>
          </w:p>
        </w:tc>
        <w:tc>
          <w:tcPr>
            <w:tcW w:w="4808" w:type="dxa"/>
            <w:vAlign w:val="center"/>
          </w:tcPr>
          <w:p w:rsidR="001D5CD0" w:rsidRPr="00B34368" w:rsidRDefault="001D5CD0" w:rsidP="00AE2AD2">
            <w:pPr>
              <w:autoSpaceDE w:val="0"/>
              <w:autoSpaceDN w:val="0"/>
              <w:adjustRightInd w:val="0"/>
              <w:spacing w:before="29" w:line="360" w:lineRule="auto"/>
              <w:ind w:left="15"/>
              <w:jc w:val="right"/>
              <w:rPr>
                <w:rFonts w:eastAsiaTheme="minorEastAsia"/>
                <w:color w:val="000000" w:themeColor="text1"/>
                <w:kern w:val="0"/>
                <w:sz w:val="24"/>
              </w:rPr>
            </w:pPr>
            <w:r w:rsidRPr="00B34368">
              <w:rPr>
                <w:rFonts w:eastAsiaTheme="minorEastAsia"/>
                <w:color w:val="000000" w:themeColor="text1"/>
                <w:kern w:val="0"/>
                <w:sz w:val="24"/>
              </w:rPr>
              <w:t>2,112,880.20</w:t>
            </w:r>
          </w:p>
        </w:tc>
      </w:tr>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5"/>
              <w:jc w:val="center"/>
              <w:rPr>
                <w:rFonts w:eastAsiaTheme="minorEastAsia"/>
                <w:color w:val="000000" w:themeColor="text1"/>
                <w:sz w:val="24"/>
              </w:rPr>
            </w:pPr>
            <w:r w:rsidRPr="00B34368">
              <w:rPr>
                <w:rFonts w:eastAsiaTheme="minorEastAsia"/>
                <w:color w:val="000000" w:themeColor="text1"/>
                <w:sz w:val="24"/>
              </w:rPr>
              <w:t>3</w:t>
            </w:r>
          </w:p>
        </w:tc>
        <w:tc>
          <w:tcPr>
            <w:tcW w:w="2761" w:type="dxa"/>
            <w:vAlign w:val="center"/>
          </w:tcPr>
          <w:p w:rsidR="001D5CD0" w:rsidRPr="00B34368" w:rsidRDefault="001D5CD0" w:rsidP="00AE2AD2">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应收股利</w:t>
            </w:r>
          </w:p>
        </w:tc>
        <w:tc>
          <w:tcPr>
            <w:tcW w:w="4808" w:type="dxa"/>
            <w:vAlign w:val="center"/>
          </w:tcPr>
          <w:p w:rsidR="001D5CD0" w:rsidRPr="00B34368" w:rsidRDefault="001D5CD0" w:rsidP="00AE2AD2">
            <w:pPr>
              <w:autoSpaceDE w:val="0"/>
              <w:autoSpaceDN w:val="0"/>
              <w:adjustRightInd w:val="0"/>
              <w:spacing w:before="29" w:line="360" w:lineRule="auto"/>
              <w:ind w:left="15"/>
              <w:jc w:val="right"/>
              <w:rPr>
                <w:rFonts w:eastAsiaTheme="minorEastAsia"/>
                <w:color w:val="000000" w:themeColor="text1"/>
                <w:kern w:val="0"/>
                <w:sz w:val="24"/>
              </w:rPr>
            </w:pPr>
            <w:r w:rsidRPr="00B34368">
              <w:rPr>
                <w:rFonts w:eastAsiaTheme="minorEastAsia"/>
                <w:color w:val="000000" w:themeColor="text1"/>
                <w:kern w:val="0"/>
                <w:sz w:val="24"/>
              </w:rPr>
              <w:t>-</w:t>
            </w:r>
          </w:p>
        </w:tc>
      </w:tr>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5"/>
              <w:jc w:val="center"/>
              <w:rPr>
                <w:rFonts w:eastAsiaTheme="minorEastAsia"/>
                <w:color w:val="000000" w:themeColor="text1"/>
                <w:sz w:val="24"/>
              </w:rPr>
            </w:pPr>
            <w:r w:rsidRPr="00B34368">
              <w:rPr>
                <w:rFonts w:eastAsiaTheme="minorEastAsia"/>
                <w:color w:val="000000" w:themeColor="text1"/>
                <w:sz w:val="24"/>
              </w:rPr>
              <w:t>4</w:t>
            </w:r>
          </w:p>
        </w:tc>
        <w:tc>
          <w:tcPr>
            <w:tcW w:w="2761" w:type="dxa"/>
            <w:vAlign w:val="center"/>
          </w:tcPr>
          <w:p w:rsidR="001D5CD0" w:rsidRPr="00B34368" w:rsidRDefault="001D5CD0" w:rsidP="00AE2AD2">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应收利息</w:t>
            </w:r>
          </w:p>
        </w:tc>
        <w:tc>
          <w:tcPr>
            <w:tcW w:w="4808" w:type="dxa"/>
            <w:vAlign w:val="center"/>
          </w:tcPr>
          <w:p w:rsidR="001D5CD0" w:rsidRPr="00B34368" w:rsidRDefault="001D5CD0" w:rsidP="00AE2AD2">
            <w:pPr>
              <w:autoSpaceDE w:val="0"/>
              <w:autoSpaceDN w:val="0"/>
              <w:adjustRightInd w:val="0"/>
              <w:spacing w:before="29" w:line="360" w:lineRule="auto"/>
              <w:ind w:left="15"/>
              <w:jc w:val="right"/>
              <w:rPr>
                <w:rFonts w:eastAsiaTheme="minorEastAsia"/>
                <w:color w:val="000000" w:themeColor="text1"/>
                <w:kern w:val="0"/>
                <w:sz w:val="24"/>
              </w:rPr>
            </w:pPr>
            <w:r w:rsidRPr="00B34368">
              <w:rPr>
                <w:rFonts w:eastAsiaTheme="minorEastAsia"/>
                <w:color w:val="000000" w:themeColor="text1"/>
                <w:kern w:val="0"/>
                <w:sz w:val="24"/>
              </w:rPr>
              <w:t>4,961,529.49</w:t>
            </w:r>
          </w:p>
        </w:tc>
      </w:tr>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5"/>
              <w:jc w:val="center"/>
              <w:rPr>
                <w:rFonts w:eastAsiaTheme="minorEastAsia"/>
                <w:color w:val="000000" w:themeColor="text1"/>
                <w:sz w:val="24"/>
              </w:rPr>
            </w:pPr>
            <w:r w:rsidRPr="00B34368">
              <w:rPr>
                <w:rFonts w:eastAsiaTheme="minorEastAsia"/>
                <w:color w:val="000000" w:themeColor="text1"/>
                <w:sz w:val="24"/>
              </w:rPr>
              <w:t>5</w:t>
            </w:r>
          </w:p>
        </w:tc>
        <w:tc>
          <w:tcPr>
            <w:tcW w:w="2761" w:type="dxa"/>
            <w:vAlign w:val="center"/>
          </w:tcPr>
          <w:p w:rsidR="001D5CD0" w:rsidRPr="00B34368" w:rsidRDefault="001D5CD0" w:rsidP="00AE2AD2">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应收申购款</w:t>
            </w:r>
          </w:p>
        </w:tc>
        <w:tc>
          <w:tcPr>
            <w:tcW w:w="4808" w:type="dxa"/>
            <w:vAlign w:val="center"/>
          </w:tcPr>
          <w:p w:rsidR="001D5CD0" w:rsidRPr="00B34368" w:rsidRDefault="001D5CD0" w:rsidP="00AE2AD2">
            <w:pPr>
              <w:autoSpaceDE w:val="0"/>
              <w:autoSpaceDN w:val="0"/>
              <w:adjustRightInd w:val="0"/>
              <w:spacing w:before="29" w:line="360" w:lineRule="auto"/>
              <w:ind w:left="15"/>
              <w:jc w:val="right"/>
              <w:rPr>
                <w:rFonts w:eastAsiaTheme="minorEastAsia"/>
                <w:color w:val="000000" w:themeColor="text1"/>
                <w:kern w:val="0"/>
                <w:sz w:val="24"/>
              </w:rPr>
            </w:pPr>
            <w:r w:rsidRPr="00B34368">
              <w:rPr>
                <w:rFonts w:eastAsiaTheme="minorEastAsia"/>
                <w:color w:val="000000" w:themeColor="text1"/>
                <w:kern w:val="0"/>
                <w:sz w:val="24"/>
              </w:rPr>
              <w:t>14,014,216.51</w:t>
            </w:r>
          </w:p>
        </w:tc>
      </w:tr>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5"/>
              <w:jc w:val="center"/>
              <w:rPr>
                <w:rFonts w:eastAsiaTheme="minorEastAsia"/>
                <w:color w:val="000000" w:themeColor="text1"/>
                <w:sz w:val="24"/>
              </w:rPr>
            </w:pPr>
            <w:r w:rsidRPr="00B34368">
              <w:rPr>
                <w:rFonts w:eastAsiaTheme="minorEastAsia"/>
                <w:color w:val="000000" w:themeColor="text1"/>
                <w:sz w:val="24"/>
              </w:rPr>
              <w:t>6</w:t>
            </w:r>
          </w:p>
        </w:tc>
        <w:tc>
          <w:tcPr>
            <w:tcW w:w="2761" w:type="dxa"/>
            <w:vAlign w:val="center"/>
          </w:tcPr>
          <w:p w:rsidR="001D5CD0" w:rsidRPr="00B34368" w:rsidRDefault="001D5CD0" w:rsidP="00AE2AD2">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其他应收款</w:t>
            </w:r>
          </w:p>
        </w:tc>
        <w:tc>
          <w:tcPr>
            <w:tcW w:w="4808" w:type="dxa"/>
            <w:vAlign w:val="center"/>
          </w:tcPr>
          <w:p w:rsidR="001D5CD0" w:rsidRPr="00B34368" w:rsidRDefault="001D5CD0" w:rsidP="00AE2AD2">
            <w:pPr>
              <w:autoSpaceDE w:val="0"/>
              <w:autoSpaceDN w:val="0"/>
              <w:adjustRightInd w:val="0"/>
              <w:spacing w:before="29" w:line="360" w:lineRule="auto"/>
              <w:ind w:left="15"/>
              <w:jc w:val="right"/>
              <w:rPr>
                <w:rFonts w:eastAsiaTheme="minorEastAsia"/>
                <w:color w:val="000000" w:themeColor="text1"/>
                <w:kern w:val="0"/>
                <w:sz w:val="24"/>
              </w:rPr>
            </w:pPr>
            <w:r w:rsidRPr="00B34368">
              <w:rPr>
                <w:rFonts w:eastAsiaTheme="minorEastAsia"/>
                <w:color w:val="000000" w:themeColor="text1"/>
                <w:kern w:val="0"/>
                <w:sz w:val="24"/>
              </w:rPr>
              <w:t>3,687,791.40</w:t>
            </w:r>
          </w:p>
        </w:tc>
      </w:tr>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5"/>
              <w:jc w:val="center"/>
              <w:rPr>
                <w:rFonts w:eastAsiaTheme="minorEastAsia"/>
                <w:color w:val="000000" w:themeColor="text1"/>
                <w:sz w:val="24"/>
              </w:rPr>
            </w:pPr>
            <w:r w:rsidRPr="00B34368">
              <w:rPr>
                <w:rFonts w:eastAsiaTheme="minorEastAsia"/>
                <w:color w:val="000000" w:themeColor="text1"/>
                <w:sz w:val="24"/>
              </w:rPr>
              <w:t>7</w:t>
            </w:r>
          </w:p>
        </w:tc>
        <w:tc>
          <w:tcPr>
            <w:tcW w:w="2761" w:type="dxa"/>
            <w:vAlign w:val="center"/>
          </w:tcPr>
          <w:p w:rsidR="001D5CD0" w:rsidRPr="00B34368" w:rsidRDefault="001D5CD0" w:rsidP="00AE2AD2">
            <w:pPr>
              <w:autoSpaceDE w:val="0"/>
              <w:autoSpaceDN w:val="0"/>
              <w:adjustRightInd w:val="0"/>
              <w:spacing w:before="29" w:line="360" w:lineRule="auto"/>
              <w:ind w:left="15"/>
              <w:jc w:val="left"/>
              <w:rPr>
                <w:rFonts w:eastAsiaTheme="minorEastAsia"/>
                <w:color w:val="000000" w:themeColor="text1"/>
                <w:sz w:val="24"/>
              </w:rPr>
            </w:pPr>
            <w:r w:rsidRPr="00B34368">
              <w:rPr>
                <w:rFonts w:eastAsiaTheme="minorEastAsia" w:hAnsiTheme="minorEastAsia"/>
                <w:color w:val="000000" w:themeColor="text1"/>
                <w:sz w:val="24"/>
              </w:rPr>
              <w:t>待摊费用</w:t>
            </w:r>
          </w:p>
        </w:tc>
        <w:tc>
          <w:tcPr>
            <w:tcW w:w="4808" w:type="dxa"/>
            <w:vAlign w:val="center"/>
          </w:tcPr>
          <w:p w:rsidR="001D5CD0" w:rsidRPr="00B34368" w:rsidRDefault="001D5CD0" w:rsidP="00AE2AD2">
            <w:pPr>
              <w:autoSpaceDE w:val="0"/>
              <w:autoSpaceDN w:val="0"/>
              <w:adjustRightInd w:val="0"/>
              <w:spacing w:before="29" w:line="360" w:lineRule="auto"/>
              <w:ind w:left="15"/>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5"/>
              <w:jc w:val="center"/>
              <w:rPr>
                <w:rFonts w:eastAsiaTheme="minorEastAsia"/>
                <w:color w:val="000000" w:themeColor="text1"/>
                <w:sz w:val="24"/>
              </w:rPr>
            </w:pPr>
            <w:r w:rsidRPr="00B34368">
              <w:rPr>
                <w:rFonts w:eastAsiaTheme="minorEastAsia"/>
                <w:color w:val="000000" w:themeColor="text1"/>
                <w:sz w:val="24"/>
              </w:rPr>
              <w:t>8</w:t>
            </w:r>
          </w:p>
        </w:tc>
        <w:tc>
          <w:tcPr>
            <w:tcW w:w="2761" w:type="dxa"/>
            <w:vAlign w:val="center"/>
          </w:tcPr>
          <w:p w:rsidR="001D5CD0" w:rsidRPr="00B34368" w:rsidRDefault="001D5CD0" w:rsidP="00AE2AD2">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其他</w:t>
            </w:r>
          </w:p>
        </w:tc>
        <w:tc>
          <w:tcPr>
            <w:tcW w:w="4808" w:type="dxa"/>
            <w:vAlign w:val="center"/>
          </w:tcPr>
          <w:p w:rsidR="001D5CD0" w:rsidRPr="00B34368" w:rsidRDefault="001D5CD0" w:rsidP="00AE2AD2">
            <w:pPr>
              <w:autoSpaceDE w:val="0"/>
              <w:autoSpaceDN w:val="0"/>
              <w:adjustRightInd w:val="0"/>
              <w:spacing w:before="29" w:line="360" w:lineRule="auto"/>
              <w:ind w:left="15"/>
              <w:jc w:val="right"/>
              <w:rPr>
                <w:rFonts w:eastAsiaTheme="minorEastAsia"/>
                <w:color w:val="000000" w:themeColor="text1"/>
                <w:kern w:val="0"/>
                <w:sz w:val="24"/>
              </w:rPr>
            </w:pPr>
            <w:r w:rsidRPr="00B34368">
              <w:rPr>
                <w:rFonts w:eastAsiaTheme="minorEastAsia"/>
                <w:color w:val="000000" w:themeColor="text1"/>
                <w:kern w:val="0"/>
                <w:sz w:val="24"/>
              </w:rPr>
              <w:t>-</w:t>
            </w:r>
          </w:p>
        </w:tc>
      </w:tr>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5"/>
              <w:jc w:val="center"/>
              <w:rPr>
                <w:rFonts w:eastAsiaTheme="minorEastAsia"/>
                <w:color w:val="000000" w:themeColor="text1"/>
                <w:sz w:val="24"/>
              </w:rPr>
            </w:pPr>
            <w:r w:rsidRPr="00B34368">
              <w:rPr>
                <w:rFonts w:eastAsiaTheme="minorEastAsia"/>
                <w:color w:val="000000" w:themeColor="text1"/>
                <w:sz w:val="24"/>
              </w:rPr>
              <w:t>9</w:t>
            </w:r>
          </w:p>
        </w:tc>
        <w:tc>
          <w:tcPr>
            <w:tcW w:w="2761" w:type="dxa"/>
            <w:vAlign w:val="center"/>
          </w:tcPr>
          <w:p w:rsidR="001D5CD0" w:rsidRPr="00B34368" w:rsidRDefault="001D5CD0" w:rsidP="00AE2AD2">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合计</w:t>
            </w:r>
          </w:p>
        </w:tc>
        <w:tc>
          <w:tcPr>
            <w:tcW w:w="4808" w:type="dxa"/>
            <w:vAlign w:val="center"/>
          </w:tcPr>
          <w:p w:rsidR="001D5CD0" w:rsidRPr="00B34368" w:rsidRDefault="001D5CD0" w:rsidP="00AE2AD2">
            <w:pPr>
              <w:autoSpaceDE w:val="0"/>
              <w:autoSpaceDN w:val="0"/>
              <w:adjustRightInd w:val="0"/>
              <w:spacing w:before="29" w:line="360" w:lineRule="auto"/>
              <w:ind w:left="15"/>
              <w:jc w:val="right"/>
              <w:rPr>
                <w:rFonts w:eastAsiaTheme="minorEastAsia"/>
                <w:color w:val="000000" w:themeColor="text1"/>
                <w:kern w:val="0"/>
                <w:sz w:val="24"/>
              </w:rPr>
            </w:pPr>
            <w:r w:rsidRPr="00B34368">
              <w:rPr>
                <w:rFonts w:eastAsiaTheme="minorEastAsia"/>
                <w:color w:val="000000" w:themeColor="text1"/>
                <w:kern w:val="0"/>
                <w:sz w:val="24"/>
              </w:rPr>
              <w:t>25,552,231.37</w:t>
            </w:r>
          </w:p>
        </w:tc>
      </w:tr>
    </w:tbl>
    <w:p w:rsidR="001D5CD0" w:rsidRPr="00B34368" w:rsidRDefault="001D5CD0"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5.12.4</w:t>
      </w:r>
      <w:r w:rsidRPr="00B34368">
        <w:rPr>
          <w:rFonts w:eastAsiaTheme="minorEastAsia" w:hAnsiTheme="minorEastAsia"/>
          <w:b/>
          <w:color w:val="000000" w:themeColor="text1"/>
          <w:kern w:val="0"/>
          <w:sz w:val="24"/>
        </w:rPr>
        <w:t>报告期末持有的处于转股期的可转换债券明细</w:t>
      </w:r>
    </w:p>
    <w:p w:rsidR="001D5CD0" w:rsidRPr="00B34368" w:rsidRDefault="001D5CD0" w:rsidP="00B34368">
      <w:pPr>
        <w:autoSpaceDE w:val="0"/>
        <w:autoSpaceDN w:val="0"/>
        <w:adjustRightInd w:val="0"/>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本基金本报告期末未持有处于转股期的可转换债券。</w:t>
      </w:r>
    </w:p>
    <w:p w:rsidR="001D5CD0" w:rsidRPr="00B34368" w:rsidRDefault="001D5CD0" w:rsidP="00C544B8">
      <w:pPr>
        <w:autoSpaceDE w:val="0"/>
        <w:autoSpaceDN w:val="0"/>
        <w:adjustRightInd w:val="0"/>
        <w:spacing w:beforeLines="100" w:before="312" w:line="360" w:lineRule="auto"/>
        <w:jc w:val="left"/>
        <w:rPr>
          <w:rFonts w:eastAsiaTheme="minorEastAsia"/>
          <w:b/>
          <w:bCs/>
          <w:color w:val="000000" w:themeColor="text1"/>
          <w:sz w:val="24"/>
        </w:rPr>
      </w:pPr>
      <w:r w:rsidRPr="00B34368">
        <w:rPr>
          <w:rFonts w:eastAsiaTheme="minorEastAsia"/>
          <w:b/>
          <w:color w:val="000000" w:themeColor="text1"/>
          <w:kern w:val="0"/>
          <w:sz w:val="24"/>
        </w:rPr>
        <w:t>5.12.5</w:t>
      </w:r>
      <w:r w:rsidRPr="00B34368">
        <w:rPr>
          <w:rFonts w:eastAsiaTheme="minorEastAsia" w:hAnsiTheme="minorEastAsia"/>
          <w:b/>
          <w:bCs/>
          <w:color w:val="000000" w:themeColor="text1"/>
          <w:sz w:val="24"/>
        </w:rPr>
        <w:t>报告期末前十名股票中存在流通受限情况的说明</w:t>
      </w:r>
    </w:p>
    <w:tbl>
      <w:tblPr>
        <w:tblStyle w:val="af2"/>
        <w:tblW w:w="0" w:type="auto"/>
        <w:tblInd w:w="108" w:type="dxa"/>
        <w:tblLayout w:type="fixed"/>
        <w:tblLook w:val="04A0" w:firstRow="1" w:lastRow="0" w:firstColumn="1" w:lastColumn="0" w:noHBand="0" w:noVBand="1"/>
      </w:tblPr>
      <w:tblGrid>
        <w:gridCol w:w="1083"/>
        <w:gridCol w:w="1302"/>
        <w:gridCol w:w="1301"/>
        <w:gridCol w:w="1805"/>
        <w:gridCol w:w="1655"/>
        <w:gridCol w:w="1367"/>
      </w:tblGrid>
      <w:tr w:rsidR="00D3639B" w:rsidRPr="00B34368" w:rsidTr="00975D18">
        <w:tc>
          <w:tcPr>
            <w:tcW w:w="1083" w:type="dxa"/>
            <w:vAlign w:val="center"/>
          </w:tcPr>
          <w:p w:rsidR="001D5CD0" w:rsidRPr="00B34368" w:rsidRDefault="001D5CD0" w:rsidP="00AE2AD2">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序号</w:t>
            </w:r>
          </w:p>
        </w:tc>
        <w:tc>
          <w:tcPr>
            <w:tcW w:w="1302" w:type="dxa"/>
            <w:vAlign w:val="center"/>
          </w:tcPr>
          <w:p w:rsidR="001D5CD0" w:rsidRPr="00B34368" w:rsidRDefault="001D5CD0" w:rsidP="00AE2AD2">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股票代码</w:t>
            </w:r>
          </w:p>
        </w:tc>
        <w:tc>
          <w:tcPr>
            <w:tcW w:w="1301" w:type="dxa"/>
            <w:vAlign w:val="center"/>
          </w:tcPr>
          <w:p w:rsidR="001D5CD0" w:rsidRPr="00B34368" w:rsidRDefault="001D5CD0" w:rsidP="00AE2AD2">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股票名称</w:t>
            </w:r>
          </w:p>
        </w:tc>
        <w:tc>
          <w:tcPr>
            <w:tcW w:w="1805" w:type="dxa"/>
            <w:vAlign w:val="center"/>
          </w:tcPr>
          <w:p w:rsidR="001D5CD0" w:rsidRPr="00B34368" w:rsidRDefault="001D5CD0" w:rsidP="00AE2AD2">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流通受限部分的公允价值</w:t>
            </w:r>
            <w:r w:rsidRPr="00B34368">
              <w:rPr>
                <w:rFonts w:eastAsiaTheme="minorEastAsia"/>
                <w:color w:val="000000" w:themeColor="text1"/>
                <w:sz w:val="24"/>
              </w:rPr>
              <w:t>(</w:t>
            </w:r>
            <w:r w:rsidRPr="00B34368">
              <w:rPr>
                <w:rFonts w:eastAsiaTheme="minorEastAsia" w:hAnsiTheme="minorEastAsia"/>
                <w:color w:val="000000" w:themeColor="text1"/>
                <w:sz w:val="24"/>
              </w:rPr>
              <w:t>元</w:t>
            </w:r>
            <w:r w:rsidRPr="00B34368">
              <w:rPr>
                <w:rFonts w:eastAsiaTheme="minorEastAsia"/>
                <w:color w:val="000000" w:themeColor="text1"/>
                <w:sz w:val="24"/>
              </w:rPr>
              <w:t>)</w:t>
            </w:r>
          </w:p>
        </w:tc>
        <w:tc>
          <w:tcPr>
            <w:tcW w:w="1655" w:type="dxa"/>
            <w:vAlign w:val="center"/>
          </w:tcPr>
          <w:p w:rsidR="001D5CD0" w:rsidRPr="00B34368" w:rsidRDefault="001D5CD0" w:rsidP="00AE2AD2">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占基金资产净值比例</w:t>
            </w:r>
            <w:r w:rsidRPr="00B34368">
              <w:rPr>
                <w:rFonts w:eastAsiaTheme="minorEastAsia"/>
                <w:color w:val="000000" w:themeColor="text1"/>
                <w:sz w:val="24"/>
              </w:rPr>
              <w:t>(%)</w:t>
            </w:r>
          </w:p>
        </w:tc>
        <w:tc>
          <w:tcPr>
            <w:tcW w:w="1367" w:type="dxa"/>
            <w:vAlign w:val="center"/>
          </w:tcPr>
          <w:p w:rsidR="001D5CD0" w:rsidRPr="00B34368" w:rsidRDefault="001D5CD0" w:rsidP="00AE2AD2">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流通受限情况说明</w:t>
            </w:r>
          </w:p>
        </w:tc>
      </w:tr>
      <w:tr w:rsidR="003C69C1">
        <w:tc>
          <w:tcPr>
            <w:tcW w:w="0" w:type="auto"/>
            <w:vAlign w:val="center"/>
          </w:tcPr>
          <w:p w:rsidR="003C69C1" w:rsidRDefault="008901F2">
            <w:pPr>
              <w:jc w:val="center"/>
            </w:pPr>
            <w:r>
              <w:rPr>
                <w:rFonts w:eastAsiaTheme="minorEastAsia"/>
                <w:color w:val="000000" w:themeColor="text1"/>
                <w:sz w:val="24"/>
              </w:rPr>
              <w:t>1</w:t>
            </w:r>
          </w:p>
        </w:tc>
        <w:tc>
          <w:tcPr>
            <w:tcW w:w="0" w:type="auto"/>
            <w:vAlign w:val="center"/>
          </w:tcPr>
          <w:p w:rsidR="003C69C1" w:rsidRDefault="008901F2">
            <w:pPr>
              <w:jc w:val="center"/>
            </w:pPr>
            <w:r>
              <w:rPr>
                <w:rFonts w:eastAsiaTheme="minorEastAsia"/>
                <w:color w:val="000000" w:themeColor="text1"/>
                <w:sz w:val="24"/>
              </w:rPr>
              <w:t>003816</w:t>
            </w:r>
          </w:p>
        </w:tc>
        <w:tc>
          <w:tcPr>
            <w:tcW w:w="0" w:type="auto"/>
            <w:vAlign w:val="center"/>
          </w:tcPr>
          <w:p w:rsidR="003C69C1" w:rsidRDefault="008901F2">
            <w:pPr>
              <w:jc w:val="center"/>
            </w:pPr>
            <w:r>
              <w:rPr>
                <w:rFonts w:eastAsiaTheme="minorEastAsia"/>
                <w:color w:val="000000" w:themeColor="text1"/>
                <w:sz w:val="24"/>
              </w:rPr>
              <w:t>中国广核</w:t>
            </w:r>
          </w:p>
        </w:tc>
        <w:tc>
          <w:tcPr>
            <w:tcW w:w="0" w:type="auto"/>
            <w:vAlign w:val="center"/>
          </w:tcPr>
          <w:p w:rsidR="003C69C1" w:rsidRDefault="008901F2">
            <w:pPr>
              <w:jc w:val="right"/>
            </w:pPr>
            <w:r>
              <w:rPr>
                <w:rFonts w:eastAsiaTheme="minorEastAsia"/>
                <w:color w:val="000000" w:themeColor="text1"/>
                <w:sz w:val="24"/>
              </w:rPr>
              <w:t>1,987,241.74</w:t>
            </w:r>
          </w:p>
        </w:tc>
        <w:tc>
          <w:tcPr>
            <w:tcW w:w="0" w:type="auto"/>
            <w:vAlign w:val="center"/>
          </w:tcPr>
          <w:p w:rsidR="003C69C1" w:rsidRDefault="008901F2">
            <w:pPr>
              <w:jc w:val="right"/>
            </w:pPr>
            <w:r>
              <w:rPr>
                <w:rFonts w:eastAsiaTheme="minorEastAsia"/>
                <w:color w:val="000000" w:themeColor="text1"/>
                <w:sz w:val="24"/>
              </w:rPr>
              <w:t>0.03</w:t>
            </w:r>
          </w:p>
        </w:tc>
        <w:tc>
          <w:tcPr>
            <w:tcW w:w="0" w:type="auto"/>
            <w:vAlign w:val="center"/>
          </w:tcPr>
          <w:p w:rsidR="003C69C1" w:rsidRDefault="008901F2">
            <w:pPr>
              <w:jc w:val="right"/>
            </w:pPr>
            <w:r>
              <w:rPr>
                <w:rFonts w:eastAsiaTheme="minorEastAsia"/>
                <w:color w:val="000000" w:themeColor="text1"/>
                <w:sz w:val="24"/>
              </w:rPr>
              <w:t>新股流通受限</w:t>
            </w:r>
          </w:p>
        </w:tc>
      </w:tr>
      <w:tr w:rsidR="003C69C1">
        <w:tc>
          <w:tcPr>
            <w:tcW w:w="0" w:type="auto"/>
            <w:vAlign w:val="center"/>
          </w:tcPr>
          <w:p w:rsidR="003C69C1" w:rsidRDefault="008901F2">
            <w:pPr>
              <w:jc w:val="center"/>
            </w:pPr>
            <w:r>
              <w:rPr>
                <w:rFonts w:eastAsiaTheme="minorEastAsia"/>
                <w:color w:val="000000" w:themeColor="text1"/>
                <w:sz w:val="24"/>
              </w:rPr>
              <w:t>2</w:t>
            </w:r>
          </w:p>
        </w:tc>
        <w:tc>
          <w:tcPr>
            <w:tcW w:w="0" w:type="auto"/>
            <w:vAlign w:val="center"/>
          </w:tcPr>
          <w:p w:rsidR="003C69C1" w:rsidRDefault="008901F2">
            <w:pPr>
              <w:jc w:val="center"/>
            </w:pPr>
            <w:r>
              <w:rPr>
                <w:rFonts w:eastAsiaTheme="minorEastAsia"/>
                <w:color w:val="000000" w:themeColor="text1"/>
                <w:sz w:val="24"/>
              </w:rPr>
              <w:t>601916</w:t>
            </w:r>
          </w:p>
        </w:tc>
        <w:tc>
          <w:tcPr>
            <w:tcW w:w="0" w:type="auto"/>
            <w:vAlign w:val="center"/>
          </w:tcPr>
          <w:p w:rsidR="003C69C1" w:rsidRDefault="008901F2">
            <w:pPr>
              <w:jc w:val="center"/>
            </w:pPr>
            <w:r>
              <w:rPr>
                <w:rFonts w:eastAsiaTheme="minorEastAsia"/>
                <w:color w:val="000000" w:themeColor="text1"/>
                <w:sz w:val="24"/>
              </w:rPr>
              <w:t>浙商银行</w:t>
            </w:r>
          </w:p>
        </w:tc>
        <w:tc>
          <w:tcPr>
            <w:tcW w:w="0" w:type="auto"/>
            <w:vAlign w:val="center"/>
          </w:tcPr>
          <w:p w:rsidR="003C69C1" w:rsidRDefault="008901F2">
            <w:pPr>
              <w:jc w:val="right"/>
            </w:pPr>
            <w:r>
              <w:rPr>
                <w:rFonts w:eastAsiaTheme="minorEastAsia"/>
                <w:color w:val="000000" w:themeColor="text1"/>
                <w:sz w:val="24"/>
              </w:rPr>
              <w:t>1,370,948.70</w:t>
            </w:r>
          </w:p>
        </w:tc>
        <w:tc>
          <w:tcPr>
            <w:tcW w:w="0" w:type="auto"/>
            <w:vAlign w:val="center"/>
          </w:tcPr>
          <w:p w:rsidR="003C69C1" w:rsidRDefault="008901F2">
            <w:pPr>
              <w:jc w:val="right"/>
            </w:pPr>
            <w:r>
              <w:rPr>
                <w:rFonts w:eastAsiaTheme="minorEastAsia"/>
                <w:color w:val="000000" w:themeColor="text1"/>
                <w:sz w:val="24"/>
              </w:rPr>
              <w:t>0.02</w:t>
            </w:r>
          </w:p>
        </w:tc>
        <w:tc>
          <w:tcPr>
            <w:tcW w:w="0" w:type="auto"/>
            <w:vAlign w:val="center"/>
          </w:tcPr>
          <w:p w:rsidR="003C69C1" w:rsidRDefault="008901F2">
            <w:pPr>
              <w:jc w:val="right"/>
            </w:pPr>
            <w:r>
              <w:rPr>
                <w:rFonts w:eastAsiaTheme="minorEastAsia"/>
                <w:color w:val="000000" w:themeColor="text1"/>
                <w:sz w:val="24"/>
              </w:rPr>
              <w:t>新股流通受限</w:t>
            </w:r>
          </w:p>
        </w:tc>
      </w:tr>
    </w:tbl>
    <w:p w:rsidR="009238DB" w:rsidRPr="00B34368" w:rsidRDefault="009238DB" w:rsidP="00C544B8">
      <w:pPr>
        <w:pStyle w:val="1"/>
        <w:spacing w:beforeLines="100" w:before="312" w:afterLines="100" w:after="312" w:line="360" w:lineRule="auto"/>
        <w:jc w:val="center"/>
        <w:rPr>
          <w:rFonts w:eastAsiaTheme="minorEastAsia"/>
          <w:color w:val="000000" w:themeColor="text1"/>
          <w:kern w:val="0"/>
          <w:sz w:val="24"/>
          <w:szCs w:val="24"/>
        </w:rPr>
      </w:pPr>
      <w:r w:rsidRPr="00B34368">
        <w:rPr>
          <w:rFonts w:eastAsiaTheme="minorEastAsia"/>
          <w:color w:val="000000" w:themeColor="text1"/>
          <w:kern w:val="0"/>
          <w:sz w:val="24"/>
          <w:szCs w:val="24"/>
        </w:rPr>
        <w:t xml:space="preserve">§6  </w:t>
      </w:r>
      <w:r w:rsidRPr="00B34368">
        <w:rPr>
          <w:rFonts w:eastAsiaTheme="minorEastAsia" w:hAnsiTheme="minorEastAsia"/>
          <w:color w:val="000000" w:themeColor="text1"/>
          <w:kern w:val="0"/>
          <w:sz w:val="24"/>
          <w:szCs w:val="24"/>
        </w:rPr>
        <w:t>开放式基金份额变动</w:t>
      </w:r>
    </w:p>
    <w:p w:rsidR="009238DB" w:rsidRPr="00B34368" w:rsidRDefault="009238DB" w:rsidP="00302187">
      <w:pPr>
        <w:autoSpaceDE w:val="0"/>
        <w:autoSpaceDN w:val="0"/>
        <w:adjustRightInd w:val="0"/>
        <w:spacing w:before="29" w:line="288" w:lineRule="auto"/>
        <w:ind w:left="15" w:right="480"/>
        <w:jc w:val="right"/>
        <w:rPr>
          <w:rFonts w:eastAsiaTheme="minorEastAsia"/>
          <w:color w:val="000000" w:themeColor="text1"/>
          <w:kern w:val="0"/>
          <w:sz w:val="24"/>
        </w:rPr>
      </w:pPr>
      <w:r w:rsidRPr="00B34368">
        <w:rPr>
          <w:rFonts w:eastAsiaTheme="minorEastAsia" w:hAnsiTheme="minorEastAsia"/>
          <w:color w:val="000000" w:themeColor="text1"/>
          <w:kern w:val="0"/>
          <w:sz w:val="24"/>
        </w:rPr>
        <w:t>单位：份</w:t>
      </w:r>
    </w:p>
    <w:tbl>
      <w:tblPr>
        <w:tblW w:w="0" w:type="auto"/>
        <w:tblInd w:w="108" w:type="dxa"/>
        <w:tblLayout w:type="fixed"/>
        <w:tblLook w:val="0000" w:firstRow="0" w:lastRow="0" w:firstColumn="0" w:lastColumn="0" w:noHBand="0" w:noVBand="0"/>
      </w:tblPr>
      <w:tblGrid>
        <w:gridCol w:w="3900"/>
        <w:gridCol w:w="2367"/>
        <w:gridCol w:w="2367"/>
      </w:tblGrid>
      <w:tr w:rsidR="00D3639B" w:rsidRPr="00B34368" w:rsidTr="00975D18">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936D40" w:rsidP="00B84643">
            <w:pPr>
              <w:autoSpaceDE w:val="0"/>
              <w:autoSpaceDN w:val="0"/>
              <w:adjustRightInd w:val="0"/>
              <w:spacing w:before="29" w:line="360" w:lineRule="auto"/>
              <w:ind w:left="17"/>
              <w:jc w:val="center"/>
              <w:rPr>
                <w:rFonts w:eastAsiaTheme="minorEastAsia"/>
                <w:color w:val="000000" w:themeColor="text1"/>
                <w:kern w:val="0"/>
                <w:sz w:val="24"/>
              </w:rPr>
            </w:pPr>
            <w:r w:rsidRPr="00B34368">
              <w:rPr>
                <w:rFonts w:eastAsiaTheme="minorEastAsia" w:hAnsiTheme="minorEastAsia"/>
                <w:color w:val="000000" w:themeColor="text1"/>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A1276C">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易方达沪深</w:t>
            </w:r>
            <w:r w:rsidRPr="00B34368">
              <w:rPr>
                <w:rFonts w:eastAsiaTheme="minorEastAsia"/>
                <w:color w:val="000000" w:themeColor="text1"/>
                <w:sz w:val="24"/>
              </w:rPr>
              <w:t>300ETF</w:t>
            </w:r>
            <w:r w:rsidRPr="00B34368">
              <w:rPr>
                <w:rFonts w:eastAsiaTheme="minorEastAsia"/>
                <w:color w:val="000000" w:themeColor="text1"/>
                <w:sz w:val="24"/>
              </w:rPr>
              <w:t>发起式联接</w:t>
            </w:r>
            <w:r w:rsidRPr="00B34368">
              <w:rPr>
                <w:rFonts w:eastAsiaTheme="minorEastAsia"/>
                <w:color w:val="000000" w:themeColor="text1"/>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936D40">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易方达沪深</w:t>
            </w:r>
            <w:r w:rsidRPr="00B34368">
              <w:rPr>
                <w:rFonts w:eastAsiaTheme="minorEastAsia"/>
                <w:color w:val="000000" w:themeColor="text1"/>
                <w:sz w:val="24"/>
              </w:rPr>
              <w:t>300ETF</w:t>
            </w:r>
            <w:r w:rsidRPr="00B34368">
              <w:rPr>
                <w:rFonts w:eastAsiaTheme="minorEastAsia"/>
                <w:color w:val="000000" w:themeColor="text1"/>
                <w:sz w:val="24"/>
              </w:rPr>
              <w:t>发起式联接</w:t>
            </w:r>
            <w:r w:rsidRPr="00B34368">
              <w:rPr>
                <w:rFonts w:eastAsiaTheme="minorEastAsia"/>
                <w:color w:val="000000" w:themeColor="text1"/>
                <w:sz w:val="24"/>
              </w:rPr>
              <w:t>C</w:t>
            </w:r>
          </w:p>
        </w:tc>
      </w:tr>
      <w:tr w:rsidR="00D3639B" w:rsidRPr="00B34368" w:rsidTr="00975D18">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936D40" w:rsidP="00A1276C">
            <w:pPr>
              <w:autoSpaceDE w:val="0"/>
              <w:autoSpaceDN w:val="0"/>
              <w:adjustRightInd w:val="0"/>
              <w:spacing w:before="29" w:line="360" w:lineRule="auto"/>
              <w:ind w:left="17"/>
              <w:jc w:val="left"/>
              <w:rPr>
                <w:rFonts w:eastAsiaTheme="minorEastAsia"/>
                <w:color w:val="000000" w:themeColor="text1"/>
                <w:kern w:val="0"/>
                <w:sz w:val="24"/>
              </w:rPr>
            </w:pPr>
            <w:r w:rsidRPr="00B34368">
              <w:rPr>
                <w:rFonts w:eastAsiaTheme="minorEastAsia" w:hAnsiTheme="minorEastAsia"/>
                <w:color w:val="000000" w:themeColor="text1"/>
                <w:kern w:val="0"/>
                <w:sz w:val="24"/>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A1276C">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4,985,135,682.31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936D40">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210,509,981.59</w:t>
            </w:r>
          </w:p>
        </w:tc>
      </w:tr>
      <w:tr w:rsidR="00D3639B" w:rsidRPr="00B34368" w:rsidTr="00975D18">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F72579" w:rsidP="00A1276C">
            <w:pPr>
              <w:autoSpaceDE w:val="0"/>
              <w:autoSpaceDN w:val="0"/>
              <w:adjustRightInd w:val="0"/>
              <w:spacing w:before="29" w:line="360" w:lineRule="auto"/>
              <w:ind w:left="17"/>
              <w:jc w:val="left"/>
              <w:rPr>
                <w:rFonts w:eastAsiaTheme="minorEastAsia"/>
                <w:color w:val="000000" w:themeColor="text1"/>
                <w:kern w:val="0"/>
                <w:sz w:val="24"/>
              </w:rPr>
            </w:pPr>
            <w:r w:rsidRPr="00B34368">
              <w:rPr>
                <w:rFonts w:eastAsiaTheme="minorEastAsia"/>
                <w:color w:val="000000" w:themeColor="text1"/>
                <w:kern w:val="0"/>
                <w:sz w:val="24"/>
              </w:rPr>
              <w:t>本报告期</w:t>
            </w:r>
            <w:r w:rsidR="00936D40" w:rsidRPr="00B34368">
              <w:rPr>
                <w:rFonts w:eastAsiaTheme="minorEastAsia" w:hAnsiTheme="minorEastAsia"/>
                <w:color w:val="000000" w:themeColor="text1"/>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A1276C">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809,881,573.23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936D40">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1,027,344,840.42</w:t>
            </w:r>
          </w:p>
        </w:tc>
      </w:tr>
      <w:tr w:rsidR="00D3639B" w:rsidRPr="00B34368" w:rsidTr="00975D18">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936D40" w:rsidP="00A1276C">
            <w:pPr>
              <w:autoSpaceDE w:val="0"/>
              <w:autoSpaceDN w:val="0"/>
              <w:adjustRightInd w:val="0"/>
              <w:spacing w:before="29" w:line="360" w:lineRule="auto"/>
              <w:ind w:left="17"/>
              <w:jc w:val="left"/>
              <w:rPr>
                <w:rFonts w:eastAsiaTheme="minorEastAsia"/>
                <w:color w:val="000000" w:themeColor="text1"/>
                <w:kern w:val="0"/>
                <w:sz w:val="24"/>
              </w:rPr>
            </w:pPr>
            <w:r w:rsidRPr="00B34368">
              <w:rPr>
                <w:rFonts w:eastAsiaTheme="minorEastAsia" w:hAnsiTheme="minorEastAsia"/>
                <w:color w:val="000000" w:themeColor="text1"/>
                <w:kern w:val="0"/>
                <w:sz w:val="24"/>
              </w:rPr>
              <w:t>减：</w:t>
            </w:r>
            <w:r w:rsidR="00F72579" w:rsidRPr="00B34368">
              <w:rPr>
                <w:rFonts w:eastAsiaTheme="minorEastAsia"/>
                <w:color w:val="000000" w:themeColor="text1"/>
                <w:kern w:val="0"/>
                <w:sz w:val="24"/>
              </w:rPr>
              <w:t>本报告期</w:t>
            </w:r>
            <w:r w:rsidRPr="00B34368">
              <w:rPr>
                <w:rFonts w:eastAsiaTheme="minorEastAsia" w:hAnsiTheme="minorEastAsia"/>
                <w:color w:val="000000" w:themeColor="text1"/>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A1276C">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1,696,782,936.17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936D40">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413,527,522.10</w:t>
            </w:r>
          </w:p>
        </w:tc>
      </w:tr>
      <w:tr w:rsidR="00D3639B" w:rsidRPr="00B34368" w:rsidTr="00975D18">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F72579" w:rsidP="00A1276C">
            <w:pPr>
              <w:autoSpaceDE w:val="0"/>
              <w:autoSpaceDN w:val="0"/>
              <w:adjustRightInd w:val="0"/>
              <w:spacing w:before="29" w:line="360" w:lineRule="auto"/>
              <w:ind w:left="17"/>
              <w:jc w:val="left"/>
              <w:rPr>
                <w:rFonts w:eastAsiaTheme="minorEastAsia"/>
                <w:color w:val="000000" w:themeColor="text1"/>
                <w:kern w:val="0"/>
                <w:sz w:val="24"/>
              </w:rPr>
            </w:pPr>
            <w:r w:rsidRPr="00B34368">
              <w:rPr>
                <w:rFonts w:eastAsiaTheme="minorEastAsia"/>
                <w:color w:val="000000" w:themeColor="text1"/>
                <w:kern w:val="0"/>
                <w:sz w:val="24"/>
              </w:rPr>
              <w:t>本报告期</w:t>
            </w:r>
            <w:r w:rsidR="00936D40" w:rsidRPr="00B34368">
              <w:rPr>
                <w:rFonts w:eastAsiaTheme="minorEastAsia" w:hAnsiTheme="minorEastAsia"/>
                <w:color w:val="000000" w:themeColor="text1"/>
                <w:kern w:val="0"/>
                <w:sz w:val="24"/>
              </w:rPr>
              <w:t>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A1276C">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936D40">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936D40" w:rsidP="00A1276C">
            <w:pPr>
              <w:autoSpaceDE w:val="0"/>
              <w:autoSpaceDN w:val="0"/>
              <w:adjustRightInd w:val="0"/>
              <w:spacing w:before="29" w:line="360" w:lineRule="auto"/>
              <w:ind w:left="17"/>
              <w:jc w:val="left"/>
              <w:rPr>
                <w:rFonts w:eastAsiaTheme="minorEastAsia"/>
                <w:color w:val="000000" w:themeColor="text1"/>
                <w:kern w:val="0"/>
                <w:sz w:val="24"/>
              </w:rPr>
            </w:pPr>
            <w:r w:rsidRPr="00B34368">
              <w:rPr>
                <w:rFonts w:eastAsiaTheme="minorEastAsia" w:hAnsiTheme="minorEastAsia"/>
                <w:color w:val="000000" w:themeColor="text1"/>
                <w:kern w:val="0"/>
                <w:sz w:val="24"/>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B57BCF">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4,098,234,319.37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936D40">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824,327,299.91</w:t>
            </w:r>
          </w:p>
        </w:tc>
      </w:tr>
    </w:tbl>
    <w:p w:rsidR="00617125" w:rsidRPr="00B34368" w:rsidRDefault="00617125" w:rsidP="00C544B8">
      <w:pPr>
        <w:pStyle w:val="1"/>
        <w:tabs>
          <w:tab w:val="center" w:pos="4156"/>
          <w:tab w:val="right" w:pos="8312"/>
        </w:tabs>
        <w:spacing w:beforeLines="100" w:before="312" w:afterLines="100" w:after="312" w:line="360" w:lineRule="auto"/>
        <w:jc w:val="center"/>
        <w:rPr>
          <w:rFonts w:eastAsiaTheme="minorEastAsia"/>
          <w:color w:val="000000" w:themeColor="text1"/>
          <w:sz w:val="24"/>
          <w:szCs w:val="24"/>
        </w:rPr>
      </w:pPr>
      <w:r w:rsidRPr="00B34368">
        <w:rPr>
          <w:rFonts w:eastAsiaTheme="minorEastAsia"/>
          <w:color w:val="000000" w:themeColor="text1"/>
          <w:kern w:val="0"/>
          <w:sz w:val="24"/>
          <w:szCs w:val="24"/>
        </w:rPr>
        <w:t>§7</w:t>
      </w:r>
      <w:r w:rsidR="007661B8" w:rsidRPr="00B34368">
        <w:rPr>
          <w:rFonts w:eastAsiaTheme="minorEastAsia"/>
          <w:color w:val="000000" w:themeColor="text1"/>
          <w:kern w:val="0"/>
          <w:sz w:val="24"/>
          <w:szCs w:val="24"/>
        </w:rPr>
        <w:t xml:space="preserve">  </w:t>
      </w:r>
      <w:r w:rsidRPr="00B34368">
        <w:rPr>
          <w:rFonts w:eastAsiaTheme="minorEastAsia" w:hAnsiTheme="minorEastAsia"/>
          <w:color w:val="000000" w:themeColor="text1"/>
          <w:sz w:val="24"/>
          <w:szCs w:val="24"/>
        </w:rPr>
        <w:t>基金管理人运用固有资金投资本基金情况</w:t>
      </w:r>
    </w:p>
    <w:p w:rsidR="00617125" w:rsidRPr="00B34368" w:rsidRDefault="00617125" w:rsidP="00617125">
      <w:pPr>
        <w:spacing w:line="360" w:lineRule="auto"/>
        <w:jc w:val="left"/>
        <w:rPr>
          <w:rFonts w:eastAsiaTheme="minorEastAsia"/>
          <w:color w:val="000000" w:themeColor="text1"/>
          <w:sz w:val="24"/>
        </w:rPr>
      </w:pPr>
      <w:r w:rsidRPr="00B34368">
        <w:rPr>
          <w:rFonts w:eastAsiaTheme="minorEastAsia"/>
          <w:b/>
          <w:color w:val="000000" w:themeColor="text1"/>
          <w:sz w:val="24"/>
        </w:rPr>
        <w:t xml:space="preserve">7.1 </w:t>
      </w:r>
      <w:r w:rsidRPr="00B34368">
        <w:rPr>
          <w:rFonts w:eastAsiaTheme="minorEastAsia" w:hAnsiTheme="minorEastAsia"/>
          <w:b/>
          <w:color w:val="000000" w:themeColor="text1"/>
          <w:sz w:val="24"/>
        </w:rPr>
        <w:t>基金管理人持有本基金份额变动情况</w:t>
      </w:r>
    </w:p>
    <w:p w:rsidR="00617125" w:rsidRPr="00B34368" w:rsidRDefault="00A01C74" w:rsidP="00B34368">
      <w:pPr>
        <w:autoSpaceDE w:val="0"/>
        <w:autoSpaceDN w:val="0"/>
        <w:adjustRightInd w:val="0"/>
        <w:spacing w:line="360" w:lineRule="auto"/>
        <w:ind w:firstLineChars="200" w:firstLine="480"/>
        <w:jc w:val="left"/>
        <w:rPr>
          <w:rFonts w:eastAsiaTheme="minorEastAsia"/>
          <w:color w:val="000000" w:themeColor="text1"/>
          <w:sz w:val="24"/>
        </w:rPr>
      </w:pPr>
      <w:r w:rsidRPr="00DF18FE">
        <w:rPr>
          <w:color w:val="000000"/>
          <w:sz w:val="24"/>
        </w:rPr>
        <w:t>本报告期内基金管理人未持有本基金份额。</w:t>
      </w:r>
    </w:p>
    <w:p w:rsidR="00617125" w:rsidRPr="00B34368" w:rsidRDefault="00617125" w:rsidP="00C544B8">
      <w:pPr>
        <w:spacing w:beforeLines="100" w:before="312" w:line="360" w:lineRule="auto"/>
        <w:jc w:val="left"/>
        <w:rPr>
          <w:rFonts w:eastAsiaTheme="minorEastAsia"/>
          <w:color w:val="000000" w:themeColor="text1"/>
          <w:sz w:val="24"/>
        </w:rPr>
      </w:pPr>
      <w:r w:rsidRPr="00B34368">
        <w:rPr>
          <w:rFonts w:eastAsiaTheme="minorEastAsia"/>
          <w:b/>
          <w:color w:val="000000" w:themeColor="text1"/>
          <w:sz w:val="24"/>
        </w:rPr>
        <w:t xml:space="preserve">7.2 </w:t>
      </w:r>
      <w:r w:rsidRPr="00B34368">
        <w:rPr>
          <w:rFonts w:eastAsiaTheme="minorEastAsia" w:hAnsiTheme="minorEastAsia"/>
          <w:b/>
          <w:color w:val="000000" w:themeColor="text1"/>
          <w:sz w:val="24"/>
        </w:rPr>
        <w:t>基金管理人运用固有资金投资本基金交易明细</w:t>
      </w:r>
    </w:p>
    <w:p w:rsidR="00617125" w:rsidRPr="00B34368" w:rsidRDefault="00617125" w:rsidP="00B34368">
      <w:pPr>
        <w:autoSpaceDE w:val="0"/>
        <w:autoSpaceDN w:val="0"/>
        <w:adjustRightInd w:val="0"/>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本报告期内基金管理人未运用固有资金申购、赎回、买卖本基金份额。</w:t>
      </w:r>
    </w:p>
    <w:p w:rsidR="00024FB8" w:rsidRPr="007E75F6" w:rsidRDefault="00024FB8" w:rsidP="00024FB8">
      <w:pPr>
        <w:pStyle w:val="1"/>
        <w:spacing w:beforeLines="100" w:before="312" w:afterLines="100" w:after="312" w:line="360" w:lineRule="auto"/>
        <w:jc w:val="center"/>
        <w:rPr>
          <w:rFonts w:eastAsiaTheme="minorEastAsia"/>
          <w:color w:val="000000" w:themeColor="text1"/>
          <w:kern w:val="0"/>
          <w:sz w:val="24"/>
          <w:szCs w:val="24"/>
        </w:rPr>
      </w:pPr>
      <w:r w:rsidRPr="007E75F6">
        <w:rPr>
          <w:rFonts w:eastAsiaTheme="minorEastAsia"/>
          <w:color w:val="000000" w:themeColor="text1"/>
          <w:kern w:val="0"/>
          <w:sz w:val="24"/>
          <w:szCs w:val="24"/>
        </w:rPr>
        <w:t>§8</w:t>
      </w:r>
      <w:r w:rsidR="007661B8" w:rsidRPr="00B34368">
        <w:rPr>
          <w:rFonts w:eastAsiaTheme="minorEastAsia"/>
          <w:color w:val="000000" w:themeColor="text1"/>
          <w:kern w:val="0"/>
          <w:sz w:val="24"/>
          <w:szCs w:val="24"/>
        </w:rPr>
        <w:t xml:space="preserve">  </w:t>
      </w:r>
      <w:r w:rsidRPr="007E75F6">
        <w:rPr>
          <w:rFonts w:eastAsiaTheme="minorEastAsia"/>
          <w:color w:val="000000" w:themeColor="text1"/>
          <w:kern w:val="0"/>
          <w:sz w:val="24"/>
          <w:szCs w:val="24"/>
        </w:rPr>
        <w:t>影响投资者决策的其他重要信息</w:t>
      </w:r>
    </w:p>
    <w:p w:rsidR="006D3BC4" w:rsidRPr="001F5F5D" w:rsidRDefault="006D3BC4" w:rsidP="006D3BC4">
      <w:pPr>
        <w:autoSpaceDE w:val="0"/>
        <w:autoSpaceDN w:val="0"/>
        <w:adjustRightInd w:val="0"/>
        <w:spacing w:line="360" w:lineRule="auto"/>
        <w:jc w:val="left"/>
        <w:rPr>
          <w:rFonts w:ascii="宋体"/>
          <w:b/>
          <w:bCs/>
          <w:color w:val="000000"/>
          <w:kern w:val="0"/>
          <w:sz w:val="24"/>
        </w:rPr>
      </w:pPr>
      <w:r w:rsidRPr="001F5F5D">
        <w:rPr>
          <w:rFonts w:ascii="宋体"/>
          <w:b/>
          <w:bCs/>
          <w:color w:val="000000"/>
          <w:kern w:val="0"/>
          <w:sz w:val="24"/>
        </w:rPr>
        <w:t>8.1 报告期内单一投资者持有基金份额比例达到或超过20%的情况</w:t>
      </w:r>
    </w:p>
    <w:tbl>
      <w:tblPr>
        <w:tblStyle w:val="af2"/>
        <w:tblW w:w="9640" w:type="dxa"/>
        <w:jc w:val="center"/>
        <w:tblLayout w:type="fixed"/>
        <w:tblLook w:val="04A0" w:firstRow="1" w:lastRow="0" w:firstColumn="1" w:lastColumn="0" w:noHBand="0" w:noVBand="1"/>
      </w:tblPr>
      <w:tblGrid>
        <w:gridCol w:w="709"/>
        <w:gridCol w:w="709"/>
        <w:gridCol w:w="2126"/>
        <w:gridCol w:w="1276"/>
        <w:gridCol w:w="1276"/>
        <w:gridCol w:w="1276"/>
        <w:gridCol w:w="1417"/>
        <w:gridCol w:w="848"/>
        <w:gridCol w:w="3"/>
      </w:tblGrid>
      <w:tr w:rsidR="006D3BC4" w:rsidRPr="00FC0759" w:rsidTr="00CD72D6">
        <w:trPr>
          <w:jc w:val="center"/>
        </w:trPr>
        <w:tc>
          <w:tcPr>
            <w:tcW w:w="709" w:type="dxa"/>
            <w:vMerge w:val="restart"/>
            <w:vAlign w:val="center"/>
          </w:tcPr>
          <w:p w:rsidR="006D3BC4" w:rsidRPr="00FC0759" w:rsidRDefault="006D3BC4" w:rsidP="00CD72D6">
            <w:pPr>
              <w:autoSpaceDE w:val="0"/>
              <w:autoSpaceDN w:val="0"/>
              <w:adjustRightInd w:val="0"/>
              <w:jc w:val="center"/>
              <w:rPr>
                <w:rFonts w:eastAsiaTheme="minorEastAsia"/>
                <w:b/>
                <w:bCs/>
                <w:color w:val="000000" w:themeColor="text1"/>
                <w:sz w:val="24"/>
              </w:rPr>
            </w:pPr>
            <w:r w:rsidRPr="00FC0759">
              <w:rPr>
                <w:color w:val="000000"/>
                <w:sz w:val="24"/>
              </w:rPr>
              <w:t>投资者类别</w:t>
            </w:r>
          </w:p>
        </w:tc>
        <w:tc>
          <w:tcPr>
            <w:tcW w:w="6663" w:type="dxa"/>
            <w:gridSpan w:val="5"/>
            <w:vAlign w:val="center"/>
          </w:tcPr>
          <w:p w:rsidR="006D3BC4" w:rsidRPr="00FC0759" w:rsidRDefault="006D3BC4" w:rsidP="00CD72D6">
            <w:pPr>
              <w:autoSpaceDE w:val="0"/>
              <w:autoSpaceDN w:val="0"/>
              <w:adjustRightInd w:val="0"/>
              <w:ind w:firstLine="1126"/>
              <w:jc w:val="center"/>
              <w:rPr>
                <w:rFonts w:eastAsiaTheme="minorEastAsia"/>
                <w:b/>
                <w:bCs/>
                <w:color w:val="000000" w:themeColor="text1"/>
                <w:sz w:val="24"/>
              </w:rPr>
            </w:pPr>
            <w:r w:rsidRPr="00FC0759">
              <w:rPr>
                <w:color w:val="000000"/>
                <w:sz w:val="24"/>
              </w:rPr>
              <w:t>报告期内持有基金份额变化情况</w:t>
            </w:r>
          </w:p>
        </w:tc>
        <w:tc>
          <w:tcPr>
            <w:tcW w:w="2268" w:type="dxa"/>
            <w:gridSpan w:val="3"/>
            <w:vAlign w:val="center"/>
          </w:tcPr>
          <w:p w:rsidR="006D3BC4" w:rsidRPr="00FC0759" w:rsidRDefault="006D3BC4" w:rsidP="00CD72D6">
            <w:pPr>
              <w:autoSpaceDE w:val="0"/>
              <w:autoSpaceDN w:val="0"/>
              <w:adjustRightInd w:val="0"/>
              <w:jc w:val="center"/>
              <w:rPr>
                <w:rFonts w:eastAsiaTheme="minorEastAsia"/>
                <w:b/>
                <w:bCs/>
                <w:color w:val="000000" w:themeColor="text1"/>
                <w:sz w:val="24"/>
              </w:rPr>
            </w:pPr>
            <w:r w:rsidRPr="00FC0759">
              <w:rPr>
                <w:color w:val="000000"/>
                <w:sz w:val="24"/>
              </w:rPr>
              <w:t>报告期末持有基金情况</w:t>
            </w:r>
          </w:p>
        </w:tc>
      </w:tr>
      <w:tr w:rsidR="006D3BC4" w:rsidRPr="00FC0759" w:rsidTr="00CD72D6">
        <w:trPr>
          <w:jc w:val="center"/>
        </w:trPr>
        <w:tc>
          <w:tcPr>
            <w:tcW w:w="709" w:type="dxa"/>
            <w:vMerge/>
            <w:vAlign w:val="center"/>
          </w:tcPr>
          <w:p w:rsidR="006D3BC4" w:rsidRPr="00FC0759" w:rsidRDefault="006D3BC4" w:rsidP="00CD72D6">
            <w:pPr>
              <w:autoSpaceDE w:val="0"/>
              <w:autoSpaceDN w:val="0"/>
              <w:adjustRightInd w:val="0"/>
              <w:ind w:firstLine="1234"/>
              <w:jc w:val="center"/>
              <w:rPr>
                <w:rFonts w:eastAsiaTheme="minorEastAsia"/>
                <w:b/>
                <w:bCs/>
                <w:color w:val="000000" w:themeColor="text1"/>
                <w:sz w:val="24"/>
              </w:rPr>
            </w:pPr>
          </w:p>
        </w:tc>
        <w:tc>
          <w:tcPr>
            <w:tcW w:w="709" w:type="dxa"/>
            <w:vAlign w:val="center"/>
          </w:tcPr>
          <w:p w:rsidR="006D3BC4" w:rsidRPr="00FC0759" w:rsidRDefault="006D3BC4" w:rsidP="00CD72D6">
            <w:pPr>
              <w:autoSpaceDE w:val="0"/>
              <w:autoSpaceDN w:val="0"/>
              <w:adjustRightInd w:val="0"/>
              <w:jc w:val="center"/>
              <w:rPr>
                <w:rFonts w:eastAsiaTheme="minorEastAsia"/>
                <w:b/>
                <w:bCs/>
                <w:color w:val="000000" w:themeColor="text1"/>
                <w:sz w:val="24"/>
              </w:rPr>
            </w:pPr>
            <w:r w:rsidRPr="00FC0759">
              <w:rPr>
                <w:color w:val="000000"/>
                <w:sz w:val="24"/>
              </w:rPr>
              <w:t>序号</w:t>
            </w:r>
          </w:p>
        </w:tc>
        <w:tc>
          <w:tcPr>
            <w:tcW w:w="2126" w:type="dxa"/>
            <w:vAlign w:val="center"/>
          </w:tcPr>
          <w:p w:rsidR="006D3BC4" w:rsidRPr="00FC0759" w:rsidRDefault="006D3BC4" w:rsidP="00CD72D6">
            <w:pPr>
              <w:autoSpaceDE w:val="0"/>
              <w:autoSpaceDN w:val="0"/>
              <w:adjustRightInd w:val="0"/>
              <w:jc w:val="center"/>
              <w:rPr>
                <w:rFonts w:eastAsiaTheme="minorEastAsia"/>
                <w:b/>
                <w:bCs/>
                <w:color w:val="000000" w:themeColor="text1"/>
                <w:sz w:val="24"/>
              </w:rPr>
            </w:pPr>
            <w:r w:rsidRPr="00FC0759">
              <w:rPr>
                <w:color w:val="000000"/>
                <w:sz w:val="24"/>
              </w:rPr>
              <w:t>持有基金份额比例达到或者超过</w:t>
            </w:r>
            <w:r w:rsidRPr="00FC0759">
              <w:rPr>
                <w:color w:val="000000"/>
                <w:sz w:val="24"/>
              </w:rPr>
              <w:t>20%</w:t>
            </w:r>
            <w:r w:rsidRPr="00FC0759">
              <w:rPr>
                <w:color w:val="000000"/>
                <w:sz w:val="24"/>
              </w:rPr>
              <w:t>的时间区间</w:t>
            </w:r>
          </w:p>
        </w:tc>
        <w:tc>
          <w:tcPr>
            <w:tcW w:w="1276" w:type="dxa"/>
            <w:vAlign w:val="center"/>
          </w:tcPr>
          <w:p w:rsidR="006D3BC4" w:rsidRPr="00FC0759" w:rsidRDefault="006D3BC4" w:rsidP="00CD72D6">
            <w:pPr>
              <w:widowControl/>
              <w:rPr>
                <w:rFonts w:eastAsiaTheme="minorEastAsia"/>
                <w:b/>
                <w:bCs/>
                <w:color w:val="000000" w:themeColor="text1"/>
                <w:sz w:val="24"/>
              </w:rPr>
            </w:pPr>
            <w:r w:rsidRPr="00FC0759">
              <w:rPr>
                <w:color w:val="000000"/>
                <w:sz w:val="24"/>
              </w:rPr>
              <w:t>期初份额</w:t>
            </w:r>
          </w:p>
        </w:tc>
        <w:tc>
          <w:tcPr>
            <w:tcW w:w="1276" w:type="dxa"/>
            <w:vAlign w:val="center"/>
          </w:tcPr>
          <w:p w:rsidR="006D3BC4" w:rsidRPr="00FC0759" w:rsidRDefault="006D3BC4" w:rsidP="00CD72D6">
            <w:pPr>
              <w:widowControl/>
              <w:rPr>
                <w:rFonts w:eastAsiaTheme="minorEastAsia"/>
                <w:b/>
                <w:bCs/>
                <w:color w:val="000000" w:themeColor="text1"/>
                <w:sz w:val="24"/>
              </w:rPr>
            </w:pPr>
            <w:r w:rsidRPr="00FC0759">
              <w:rPr>
                <w:color w:val="000000"/>
                <w:sz w:val="24"/>
              </w:rPr>
              <w:t>申购份额</w:t>
            </w:r>
          </w:p>
        </w:tc>
        <w:tc>
          <w:tcPr>
            <w:tcW w:w="1276" w:type="dxa"/>
            <w:vAlign w:val="center"/>
          </w:tcPr>
          <w:p w:rsidR="006D3BC4" w:rsidRPr="00FC0759" w:rsidRDefault="006D3BC4" w:rsidP="00CD72D6">
            <w:pPr>
              <w:widowControl/>
              <w:rPr>
                <w:rFonts w:eastAsiaTheme="minorEastAsia"/>
                <w:b/>
                <w:bCs/>
                <w:color w:val="000000" w:themeColor="text1"/>
                <w:sz w:val="24"/>
              </w:rPr>
            </w:pPr>
            <w:r w:rsidRPr="00FC0759">
              <w:rPr>
                <w:color w:val="000000"/>
                <w:sz w:val="24"/>
              </w:rPr>
              <w:t>赎回份额</w:t>
            </w:r>
          </w:p>
        </w:tc>
        <w:tc>
          <w:tcPr>
            <w:tcW w:w="1417" w:type="dxa"/>
            <w:vAlign w:val="center"/>
          </w:tcPr>
          <w:p w:rsidR="006D3BC4" w:rsidRPr="00FC0759" w:rsidRDefault="006D3BC4" w:rsidP="00CD72D6">
            <w:pPr>
              <w:autoSpaceDE w:val="0"/>
              <w:autoSpaceDN w:val="0"/>
              <w:adjustRightInd w:val="0"/>
              <w:jc w:val="center"/>
              <w:rPr>
                <w:rFonts w:eastAsiaTheme="minorEastAsia"/>
                <w:b/>
                <w:bCs/>
                <w:color w:val="000000" w:themeColor="text1"/>
                <w:sz w:val="24"/>
              </w:rPr>
            </w:pPr>
            <w:r w:rsidRPr="00FC0759">
              <w:rPr>
                <w:color w:val="000000"/>
                <w:sz w:val="24"/>
              </w:rPr>
              <w:t>持有份额</w:t>
            </w:r>
          </w:p>
        </w:tc>
        <w:tc>
          <w:tcPr>
            <w:tcW w:w="851" w:type="dxa"/>
            <w:gridSpan w:val="2"/>
            <w:vAlign w:val="center"/>
          </w:tcPr>
          <w:p w:rsidR="006D3BC4" w:rsidRPr="00FC0759" w:rsidRDefault="006D3BC4" w:rsidP="00CD72D6">
            <w:pPr>
              <w:autoSpaceDE w:val="0"/>
              <w:autoSpaceDN w:val="0"/>
              <w:adjustRightInd w:val="0"/>
              <w:jc w:val="center"/>
              <w:rPr>
                <w:rFonts w:eastAsiaTheme="minorEastAsia"/>
                <w:b/>
                <w:bCs/>
                <w:color w:val="000000" w:themeColor="text1"/>
                <w:sz w:val="24"/>
              </w:rPr>
            </w:pPr>
            <w:r w:rsidRPr="00FC0759">
              <w:rPr>
                <w:color w:val="000000"/>
                <w:sz w:val="24"/>
              </w:rPr>
              <w:t>份额占比</w:t>
            </w:r>
          </w:p>
        </w:tc>
      </w:tr>
      <w:tr w:rsidR="003C69C1">
        <w:trPr>
          <w:jc w:val="center"/>
        </w:trPr>
        <w:tc>
          <w:tcPr>
            <w:tcW w:w="0" w:type="auto"/>
            <w:vMerge w:val="restart"/>
            <w:vAlign w:val="center"/>
          </w:tcPr>
          <w:p w:rsidR="003C69C1" w:rsidRDefault="008901F2">
            <w:r>
              <w:rPr>
                <w:rFonts w:eastAsiaTheme="minorEastAsia"/>
                <w:bCs/>
                <w:color w:val="000000" w:themeColor="text1"/>
                <w:sz w:val="24"/>
              </w:rPr>
              <w:t>机构</w:t>
            </w:r>
          </w:p>
        </w:tc>
        <w:tc>
          <w:tcPr>
            <w:tcW w:w="0" w:type="auto"/>
            <w:vAlign w:val="center"/>
          </w:tcPr>
          <w:p w:rsidR="003C69C1" w:rsidRDefault="008901F2">
            <w:pPr>
              <w:jc w:val="center"/>
            </w:pPr>
            <w:r>
              <w:rPr>
                <w:sz w:val="24"/>
              </w:rPr>
              <w:t>1</w:t>
            </w:r>
          </w:p>
        </w:tc>
        <w:tc>
          <w:tcPr>
            <w:tcW w:w="0" w:type="auto"/>
            <w:vAlign w:val="center"/>
          </w:tcPr>
          <w:p w:rsidR="003C69C1" w:rsidRDefault="008901F2">
            <w:pPr>
              <w:jc w:val="center"/>
            </w:pPr>
            <w:r>
              <w:rPr>
                <w:sz w:val="24"/>
              </w:rPr>
              <w:t>2019</w:t>
            </w:r>
            <w:r>
              <w:rPr>
                <w:sz w:val="24"/>
              </w:rPr>
              <w:t>年</w:t>
            </w:r>
            <w:r>
              <w:rPr>
                <w:sz w:val="24"/>
              </w:rPr>
              <w:t>10</w:t>
            </w:r>
            <w:r>
              <w:rPr>
                <w:sz w:val="24"/>
              </w:rPr>
              <w:t>月</w:t>
            </w:r>
            <w:r>
              <w:rPr>
                <w:sz w:val="24"/>
              </w:rPr>
              <w:t>01</w:t>
            </w:r>
            <w:r>
              <w:rPr>
                <w:sz w:val="24"/>
              </w:rPr>
              <w:t>日</w:t>
            </w:r>
            <w:r>
              <w:rPr>
                <w:sz w:val="24"/>
              </w:rPr>
              <w:t>~2019</w:t>
            </w:r>
            <w:r>
              <w:rPr>
                <w:sz w:val="24"/>
              </w:rPr>
              <w:t>年</w:t>
            </w:r>
            <w:r>
              <w:rPr>
                <w:sz w:val="24"/>
              </w:rPr>
              <w:t>11</w:t>
            </w:r>
            <w:r>
              <w:rPr>
                <w:sz w:val="24"/>
              </w:rPr>
              <w:t>月</w:t>
            </w:r>
            <w:r>
              <w:rPr>
                <w:sz w:val="24"/>
              </w:rPr>
              <w:t>12</w:t>
            </w:r>
            <w:r>
              <w:rPr>
                <w:sz w:val="24"/>
              </w:rPr>
              <w:t>日</w:t>
            </w:r>
          </w:p>
        </w:tc>
        <w:tc>
          <w:tcPr>
            <w:tcW w:w="0" w:type="auto"/>
            <w:vAlign w:val="center"/>
          </w:tcPr>
          <w:p w:rsidR="003C69C1" w:rsidRDefault="008901F2">
            <w:pPr>
              <w:jc w:val="center"/>
            </w:pPr>
            <w:r>
              <w:rPr>
                <w:sz w:val="24"/>
              </w:rPr>
              <w:t>1,206,158,344.25</w:t>
            </w:r>
          </w:p>
        </w:tc>
        <w:tc>
          <w:tcPr>
            <w:tcW w:w="0" w:type="auto"/>
            <w:vAlign w:val="center"/>
          </w:tcPr>
          <w:p w:rsidR="003C69C1" w:rsidRDefault="008901F2">
            <w:pPr>
              <w:jc w:val="center"/>
            </w:pPr>
            <w:r>
              <w:rPr>
                <w:sz w:val="24"/>
              </w:rPr>
              <w:t>-</w:t>
            </w:r>
          </w:p>
        </w:tc>
        <w:tc>
          <w:tcPr>
            <w:tcW w:w="0" w:type="auto"/>
            <w:vAlign w:val="center"/>
          </w:tcPr>
          <w:p w:rsidR="003C69C1" w:rsidRDefault="008901F2">
            <w:pPr>
              <w:jc w:val="center"/>
            </w:pPr>
            <w:r>
              <w:rPr>
                <w:sz w:val="24"/>
              </w:rPr>
              <w:t>1,206,158,344.25</w:t>
            </w:r>
          </w:p>
        </w:tc>
        <w:tc>
          <w:tcPr>
            <w:tcW w:w="0" w:type="auto"/>
            <w:vAlign w:val="center"/>
          </w:tcPr>
          <w:p w:rsidR="003C69C1" w:rsidRDefault="008901F2">
            <w:pPr>
              <w:jc w:val="center"/>
            </w:pPr>
            <w:r>
              <w:rPr>
                <w:sz w:val="24"/>
              </w:rPr>
              <w:t>-</w:t>
            </w:r>
          </w:p>
        </w:tc>
        <w:tc>
          <w:tcPr>
            <w:tcW w:w="0" w:type="auto"/>
            <w:gridSpan w:val="2"/>
            <w:vAlign w:val="center"/>
          </w:tcPr>
          <w:p w:rsidR="003C69C1" w:rsidRDefault="008901F2">
            <w:pPr>
              <w:jc w:val="center"/>
            </w:pPr>
            <w:r>
              <w:rPr>
                <w:sz w:val="24"/>
              </w:rPr>
              <w:t>-</w:t>
            </w:r>
          </w:p>
        </w:tc>
      </w:tr>
      <w:tr w:rsidR="006D3BC4" w:rsidRPr="00FC0759" w:rsidTr="00CD72D6">
        <w:trPr>
          <w:gridAfter w:val="1"/>
          <w:jc w:val="center"/>
        </w:trPr>
        <w:tc>
          <w:tcPr>
            <w:tcW w:w="9637" w:type="dxa"/>
            <w:gridSpan w:val="8"/>
            <w:vAlign w:val="center"/>
          </w:tcPr>
          <w:p w:rsidR="006D3BC4" w:rsidRPr="00FC0759" w:rsidRDefault="006D3BC4" w:rsidP="00782390">
            <w:pPr>
              <w:autoSpaceDE w:val="0"/>
              <w:autoSpaceDN w:val="0"/>
              <w:adjustRightInd w:val="0"/>
              <w:jc w:val="center"/>
              <w:rPr>
                <w:sz w:val="24"/>
              </w:rPr>
            </w:pPr>
            <w:r w:rsidRPr="00FC0759">
              <w:rPr>
                <w:color w:val="000000"/>
                <w:sz w:val="24"/>
              </w:rPr>
              <w:t>产品特有风险</w:t>
            </w:r>
          </w:p>
        </w:tc>
      </w:tr>
      <w:tr w:rsidR="006D3BC4" w:rsidRPr="00FC0759" w:rsidTr="00CD72D6">
        <w:trPr>
          <w:gridAfter w:val="1"/>
          <w:jc w:val="center"/>
        </w:trPr>
        <w:tc>
          <w:tcPr>
            <w:tcW w:w="9637" w:type="dxa"/>
            <w:gridSpan w:val="8"/>
            <w:vAlign w:val="center"/>
          </w:tcPr>
          <w:p w:rsidR="006D3BC4" w:rsidRPr="00FC0759" w:rsidRDefault="006D3BC4" w:rsidP="00CD72D6">
            <w:pPr>
              <w:autoSpaceDE w:val="0"/>
              <w:autoSpaceDN w:val="0"/>
              <w:adjustRightInd w:val="0"/>
              <w:jc w:val="left"/>
              <w:rPr>
                <w:sz w:val="24"/>
              </w:rPr>
            </w:pPr>
            <w:r w:rsidRPr="00FC0759">
              <w:rPr>
                <w:sz w:val="24"/>
              </w:rPr>
              <w:t>报告期内，本基金存在单一投资者持有份额比例达到或超过</w:t>
            </w:r>
            <w:r w:rsidRPr="00FC0759">
              <w:rPr>
                <w:sz w:val="24"/>
              </w:rPr>
              <w:t>20%</w:t>
            </w:r>
            <w:r w:rsidRPr="00FC0759">
              <w:rPr>
                <w:sz w:val="24"/>
              </w:rPr>
              <w:t>的情况，由此可能导致的特有风险主要包括：当投资者持有份额占比较为集中时，个别投资者的大额赎回可能会对基金资产运作及净值表现产生较大影响；极端情况下基金管理人可能无法以合理价格及时变现基金资产以应对投资者的赎回申请，可能带来流动性风险；如个别投资者大额赎回引发巨额赎回，基金管理人可能根据基金合同约定决定部分延期赎回或暂停接受基金的赎回申请，可能影响投资者赎回业务办理；若个别投资者大额赎回后本基金出现连续六十个工作日基金资产净值低于</w:t>
            </w:r>
            <w:r w:rsidRPr="00FC0759">
              <w:rPr>
                <w:sz w:val="24"/>
              </w:rPr>
              <w:t>5000</w:t>
            </w:r>
            <w:r w:rsidRPr="00FC0759">
              <w:rPr>
                <w:sz w:val="24"/>
              </w:rPr>
              <w:t>万元，基金还可能面临转换运作方式、与其他基金合并或者终止基金合同等情形；持有基金份额占比较高的投资者在召开持有人大会并对审议事项进行投票表决时可能拥有较大话语权。</w:t>
            </w:r>
          </w:p>
        </w:tc>
      </w:tr>
    </w:tbl>
    <w:p w:rsidR="009238DB" w:rsidRPr="00B34368" w:rsidRDefault="009238DB" w:rsidP="00C544B8">
      <w:pPr>
        <w:pStyle w:val="1"/>
        <w:spacing w:beforeLines="100" w:before="312" w:afterLines="100" w:after="312" w:line="360" w:lineRule="auto"/>
        <w:jc w:val="center"/>
        <w:rPr>
          <w:rFonts w:eastAsiaTheme="minorEastAsia"/>
          <w:color w:val="000000" w:themeColor="text1"/>
          <w:kern w:val="0"/>
          <w:sz w:val="24"/>
          <w:szCs w:val="24"/>
        </w:rPr>
      </w:pPr>
      <w:r w:rsidRPr="00B34368">
        <w:rPr>
          <w:rFonts w:eastAsiaTheme="minorEastAsia"/>
          <w:color w:val="000000" w:themeColor="text1"/>
          <w:kern w:val="0"/>
          <w:sz w:val="24"/>
          <w:szCs w:val="24"/>
        </w:rPr>
        <w:t>§</w:t>
      </w:r>
      <w:r w:rsidR="00A14399" w:rsidRPr="00B34368">
        <w:rPr>
          <w:rFonts w:eastAsiaTheme="minorEastAsia"/>
          <w:color w:val="000000" w:themeColor="text1"/>
          <w:kern w:val="0"/>
          <w:sz w:val="24"/>
          <w:szCs w:val="24"/>
        </w:rPr>
        <w:t>9</w:t>
      </w:r>
      <w:r w:rsidR="007661B8" w:rsidRPr="00B34368">
        <w:rPr>
          <w:rFonts w:eastAsiaTheme="minorEastAsia"/>
          <w:color w:val="000000" w:themeColor="text1"/>
          <w:kern w:val="0"/>
          <w:sz w:val="24"/>
          <w:szCs w:val="24"/>
        </w:rPr>
        <w:t xml:space="preserve">  </w:t>
      </w:r>
      <w:r w:rsidRPr="00B34368">
        <w:rPr>
          <w:rFonts w:eastAsiaTheme="minorEastAsia" w:hAnsiTheme="minorEastAsia"/>
          <w:color w:val="000000" w:themeColor="text1"/>
          <w:kern w:val="0"/>
          <w:sz w:val="24"/>
          <w:szCs w:val="24"/>
        </w:rPr>
        <w:t>备查文件目录</w:t>
      </w:r>
    </w:p>
    <w:p w:rsidR="00FB3C94" w:rsidRPr="00B34368" w:rsidRDefault="00A14399" w:rsidP="00FC13C8">
      <w:pPr>
        <w:autoSpaceDE w:val="0"/>
        <w:autoSpaceDN w:val="0"/>
        <w:adjustRightInd w:val="0"/>
        <w:spacing w:line="360" w:lineRule="auto"/>
        <w:jc w:val="left"/>
        <w:rPr>
          <w:rFonts w:eastAsiaTheme="minorEastAsia"/>
          <w:b/>
          <w:bCs/>
          <w:color w:val="000000" w:themeColor="text1"/>
          <w:kern w:val="0"/>
          <w:sz w:val="24"/>
        </w:rPr>
      </w:pPr>
      <w:r w:rsidRPr="00B34368">
        <w:rPr>
          <w:rFonts w:eastAsiaTheme="minorEastAsia"/>
          <w:b/>
          <w:bCs/>
          <w:color w:val="000000" w:themeColor="text1"/>
          <w:kern w:val="0"/>
          <w:sz w:val="24"/>
        </w:rPr>
        <w:t>9.</w:t>
      </w:r>
      <w:r w:rsidR="00D13A01" w:rsidRPr="00B34368">
        <w:rPr>
          <w:rFonts w:eastAsiaTheme="minorEastAsia"/>
          <w:b/>
          <w:bCs/>
          <w:color w:val="000000" w:themeColor="text1"/>
          <w:kern w:val="0"/>
          <w:sz w:val="24"/>
        </w:rPr>
        <w:t>1</w:t>
      </w:r>
      <w:r w:rsidR="00FB3C94" w:rsidRPr="00B34368">
        <w:rPr>
          <w:rFonts w:eastAsiaTheme="minorEastAsia" w:hAnsiTheme="minorEastAsia"/>
          <w:b/>
          <w:bCs/>
          <w:color w:val="000000" w:themeColor="text1"/>
          <w:kern w:val="0"/>
          <w:sz w:val="24"/>
        </w:rPr>
        <w:t>备查文件目录</w:t>
      </w:r>
    </w:p>
    <w:p w:rsidR="003C69C1" w:rsidRDefault="003C69C1">
      <w:pPr>
        <w:spacing w:line="360" w:lineRule="auto"/>
        <w:ind w:firstLineChars="200" w:firstLine="480"/>
        <w:rPr>
          <w:rFonts w:eastAsiaTheme="minorEastAsia"/>
          <w:color w:val="000000" w:themeColor="text1"/>
          <w:sz w:val="24"/>
        </w:rPr>
      </w:pPr>
    </w:p>
    <w:p w:rsidR="003C69C1" w:rsidRDefault="008901F2">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中国证监会核准易方达沪深</w:t>
      </w:r>
      <w:r>
        <w:rPr>
          <w:rFonts w:eastAsiaTheme="minorEastAsia"/>
          <w:color w:val="000000" w:themeColor="text1"/>
          <w:sz w:val="24"/>
        </w:rPr>
        <w:t>300</w:t>
      </w:r>
      <w:r>
        <w:rPr>
          <w:rFonts w:eastAsiaTheme="minorEastAsia"/>
          <w:color w:val="000000" w:themeColor="text1"/>
          <w:sz w:val="24"/>
        </w:rPr>
        <w:t>指数证券投资基金募集的文件；</w:t>
      </w:r>
    </w:p>
    <w:p w:rsidR="003C69C1" w:rsidRDefault="008901F2">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中国证监会《关于易方达沪深</w:t>
      </w:r>
      <w:r>
        <w:rPr>
          <w:rFonts w:eastAsiaTheme="minorEastAsia"/>
          <w:color w:val="000000" w:themeColor="text1"/>
          <w:sz w:val="24"/>
        </w:rPr>
        <w:t>300</w:t>
      </w:r>
      <w:r>
        <w:rPr>
          <w:rFonts w:eastAsiaTheme="minorEastAsia"/>
          <w:color w:val="000000" w:themeColor="text1"/>
          <w:sz w:val="24"/>
        </w:rPr>
        <w:t>指数证券投资基金基金份额持有人大会决议备案的回函》；</w:t>
      </w:r>
    </w:p>
    <w:p w:rsidR="003C69C1" w:rsidRDefault="008901F2">
      <w:pPr>
        <w:spacing w:line="360" w:lineRule="auto"/>
        <w:ind w:firstLineChars="200" w:firstLine="480"/>
        <w:rPr>
          <w:rFonts w:eastAsiaTheme="minorEastAsia"/>
          <w:color w:val="000000" w:themeColor="text1"/>
          <w:sz w:val="24"/>
        </w:rPr>
      </w:pPr>
      <w:r>
        <w:rPr>
          <w:rFonts w:eastAsiaTheme="minorEastAsia"/>
          <w:color w:val="000000" w:themeColor="text1"/>
          <w:sz w:val="24"/>
        </w:rPr>
        <w:t>3.</w:t>
      </w:r>
      <w:r>
        <w:rPr>
          <w:rFonts w:eastAsiaTheme="minorEastAsia"/>
          <w:color w:val="000000" w:themeColor="text1"/>
          <w:sz w:val="24"/>
        </w:rPr>
        <w:t>《易方达沪深</w:t>
      </w:r>
      <w:r>
        <w:rPr>
          <w:rFonts w:eastAsiaTheme="minorEastAsia"/>
          <w:color w:val="000000" w:themeColor="text1"/>
          <w:sz w:val="24"/>
        </w:rPr>
        <w:t>300</w:t>
      </w:r>
      <w:r>
        <w:rPr>
          <w:rFonts w:eastAsiaTheme="minorEastAsia"/>
          <w:color w:val="000000" w:themeColor="text1"/>
          <w:sz w:val="24"/>
        </w:rPr>
        <w:t>交易型开放式指数发起式证券投资基金联接基金基金合同》；</w:t>
      </w:r>
    </w:p>
    <w:p w:rsidR="003C69C1" w:rsidRDefault="008901F2">
      <w:pPr>
        <w:spacing w:line="360" w:lineRule="auto"/>
        <w:ind w:firstLineChars="200" w:firstLine="480"/>
        <w:rPr>
          <w:rFonts w:eastAsiaTheme="minorEastAsia"/>
          <w:color w:val="000000" w:themeColor="text1"/>
          <w:sz w:val="24"/>
        </w:rPr>
      </w:pPr>
      <w:r>
        <w:rPr>
          <w:rFonts w:eastAsiaTheme="minorEastAsia"/>
          <w:color w:val="000000" w:themeColor="text1"/>
          <w:sz w:val="24"/>
        </w:rPr>
        <w:t>4.</w:t>
      </w:r>
      <w:r>
        <w:rPr>
          <w:rFonts w:eastAsiaTheme="minorEastAsia"/>
          <w:color w:val="000000" w:themeColor="text1"/>
          <w:sz w:val="24"/>
        </w:rPr>
        <w:t>《易方达沪深</w:t>
      </w:r>
      <w:r>
        <w:rPr>
          <w:rFonts w:eastAsiaTheme="minorEastAsia"/>
          <w:color w:val="000000" w:themeColor="text1"/>
          <w:sz w:val="24"/>
        </w:rPr>
        <w:t>300</w:t>
      </w:r>
      <w:r>
        <w:rPr>
          <w:rFonts w:eastAsiaTheme="minorEastAsia"/>
          <w:color w:val="000000" w:themeColor="text1"/>
          <w:sz w:val="24"/>
        </w:rPr>
        <w:t>交易型开放式指数发起式证券投资基金联接基金托管协议》；</w:t>
      </w:r>
    </w:p>
    <w:p w:rsidR="003C69C1" w:rsidRDefault="008901F2">
      <w:pPr>
        <w:spacing w:line="360" w:lineRule="auto"/>
        <w:ind w:firstLineChars="200" w:firstLine="480"/>
        <w:rPr>
          <w:rFonts w:eastAsiaTheme="minorEastAsia"/>
          <w:color w:val="000000" w:themeColor="text1"/>
          <w:sz w:val="24"/>
        </w:rPr>
      </w:pPr>
      <w:r>
        <w:rPr>
          <w:rFonts w:eastAsiaTheme="minorEastAsia"/>
          <w:color w:val="000000" w:themeColor="text1"/>
          <w:sz w:val="24"/>
        </w:rPr>
        <w:t>5.</w:t>
      </w:r>
      <w:r>
        <w:rPr>
          <w:rFonts w:eastAsiaTheme="minorEastAsia"/>
          <w:color w:val="000000" w:themeColor="text1"/>
          <w:sz w:val="24"/>
        </w:rPr>
        <w:t>《易方达基金管理有限公司开放式基金业务规则》；</w:t>
      </w:r>
    </w:p>
    <w:p w:rsidR="00F11783" w:rsidRPr="00B34368" w:rsidRDefault="00FB3C94"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6.</w:t>
      </w:r>
      <w:r w:rsidRPr="00B34368">
        <w:rPr>
          <w:rFonts w:eastAsiaTheme="minorEastAsia"/>
          <w:color w:val="000000" w:themeColor="text1"/>
          <w:sz w:val="24"/>
        </w:rPr>
        <w:t>基金管理人业务资格批件和营业执照。</w:t>
      </w:r>
    </w:p>
    <w:p w:rsidR="00FB3C94" w:rsidRPr="00B34368" w:rsidRDefault="00D13A01" w:rsidP="00C544B8">
      <w:pPr>
        <w:autoSpaceDE w:val="0"/>
        <w:autoSpaceDN w:val="0"/>
        <w:adjustRightInd w:val="0"/>
        <w:spacing w:beforeLines="100" w:before="312" w:line="360" w:lineRule="auto"/>
        <w:jc w:val="left"/>
        <w:rPr>
          <w:rFonts w:eastAsiaTheme="minorEastAsia"/>
          <w:b/>
          <w:bCs/>
          <w:color w:val="000000" w:themeColor="text1"/>
          <w:kern w:val="0"/>
          <w:sz w:val="24"/>
        </w:rPr>
      </w:pPr>
      <w:r w:rsidRPr="00B34368">
        <w:rPr>
          <w:rFonts w:eastAsiaTheme="minorEastAsia"/>
          <w:b/>
          <w:bCs/>
          <w:color w:val="000000" w:themeColor="text1"/>
          <w:kern w:val="0"/>
          <w:sz w:val="24"/>
        </w:rPr>
        <w:t>9.2</w:t>
      </w:r>
      <w:r w:rsidR="00FB3C94" w:rsidRPr="00B34368">
        <w:rPr>
          <w:rFonts w:eastAsiaTheme="minorEastAsia" w:hAnsiTheme="minorEastAsia"/>
          <w:b/>
          <w:bCs/>
          <w:color w:val="000000" w:themeColor="text1"/>
          <w:kern w:val="0"/>
          <w:sz w:val="24"/>
        </w:rPr>
        <w:t>存放地点</w:t>
      </w:r>
    </w:p>
    <w:p w:rsidR="00F11783" w:rsidRPr="00B34368" w:rsidRDefault="00FB3C94"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广州市天河区珠江新城珠江东路</w:t>
      </w:r>
      <w:r w:rsidRPr="00B34368">
        <w:rPr>
          <w:rFonts w:eastAsiaTheme="minorEastAsia"/>
          <w:color w:val="000000" w:themeColor="text1"/>
          <w:sz w:val="24"/>
        </w:rPr>
        <w:t>30</w:t>
      </w:r>
      <w:r w:rsidRPr="00B34368">
        <w:rPr>
          <w:rFonts w:eastAsiaTheme="minorEastAsia"/>
          <w:color w:val="000000" w:themeColor="text1"/>
          <w:sz w:val="24"/>
        </w:rPr>
        <w:t>号广州银行大厦</w:t>
      </w:r>
      <w:r w:rsidRPr="00B34368">
        <w:rPr>
          <w:rFonts w:eastAsiaTheme="minorEastAsia"/>
          <w:color w:val="000000" w:themeColor="text1"/>
          <w:sz w:val="24"/>
        </w:rPr>
        <w:t>40-43</w:t>
      </w:r>
      <w:r w:rsidRPr="00B34368">
        <w:rPr>
          <w:rFonts w:eastAsiaTheme="minorEastAsia"/>
          <w:color w:val="000000" w:themeColor="text1"/>
          <w:sz w:val="24"/>
        </w:rPr>
        <w:t>楼。</w:t>
      </w:r>
    </w:p>
    <w:p w:rsidR="00FB3C94" w:rsidRPr="00B34368" w:rsidRDefault="00D13A01" w:rsidP="00C544B8">
      <w:pPr>
        <w:autoSpaceDE w:val="0"/>
        <w:autoSpaceDN w:val="0"/>
        <w:adjustRightInd w:val="0"/>
        <w:spacing w:beforeLines="100" w:before="312" w:line="360" w:lineRule="auto"/>
        <w:jc w:val="left"/>
        <w:rPr>
          <w:rFonts w:eastAsiaTheme="minorEastAsia"/>
          <w:b/>
          <w:bCs/>
          <w:color w:val="000000" w:themeColor="text1"/>
          <w:kern w:val="0"/>
          <w:sz w:val="24"/>
        </w:rPr>
      </w:pPr>
      <w:r w:rsidRPr="00B34368">
        <w:rPr>
          <w:rFonts w:eastAsiaTheme="minorEastAsia"/>
          <w:b/>
          <w:bCs/>
          <w:color w:val="000000" w:themeColor="text1"/>
          <w:kern w:val="0"/>
          <w:sz w:val="24"/>
        </w:rPr>
        <w:t>9.3</w:t>
      </w:r>
      <w:r w:rsidR="00FB3C94" w:rsidRPr="00B34368">
        <w:rPr>
          <w:rFonts w:eastAsiaTheme="minorEastAsia" w:hAnsiTheme="minorEastAsia"/>
          <w:b/>
          <w:bCs/>
          <w:color w:val="000000" w:themeColor="text1"/>
          <w:kern w:val="0"/>
          <w:sz w:val="24"/>
        </w:rPr>
        <w:t>查阅方式</w:t>
      </w:r>
    </w:p>
    <w:p w:rsidR="00FB3C94" w:rsidRPr="00B34368" w:rsidRDefault="00FB3C94"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投资者可在营业时间免费查阅，也可按工本费购买复印件。</w:t>
      </w:r>
    </w:p>
    <w:p w:rsidR="00FB3C94" w:rsidRPr="00B34368" w:rsidRDefault="00FB3C94" w:rsidP="00FB3C94">
      <w:pPr>
        <w:spacing w:line="360" w:lineRule="auto"/>
        <w:ind w:left="840"/>
        <w:jc w:val="right"/>
        <w:rPr>
          <w:rFonts w:eastAsiaTheme="minorEastAsia"/>
          <w:color w:val="000000" w:themeColor="text1"/>
          <w:sz w:val="24"/>
        </w:rPr>
      </w:pPr>
    </w:p>
    <w:p w:rsidR="00AF3AF9" w:rsidRPr="00B34368" w:rsidRDefault="00AF3AF9" w:rsidP="00053FFD">
      <w:pPr>
        <w:spacing w:line="360" w:lineRule="auto"/>
        <w:ind w:left="840"/>
        <w:jc w:val="center"/>
        <w:rPr>
          <w:rFonts w:eastAsiaTheme="minorEastAsia"/>
          <w:b/>
          <w:color w:val="000000" w:themeColor="text1"/>
          <w:sz w:val="24"/>
        </w:rPr>
      </w:pPr>
    </w:p>
    <w:p w:rsidR="00FB3C94" w:rsidRPr="00B34368" w:rsidRDefault="00FB3C94" w:rsidP="00B1493B">
      <w:pPr>
        <w:spacing w:line="360" w:lineRule="auto"/>
        <w:jc w:val="right"/>
        <w:rPr>
          <w:rFonts w:eastAsiaTheme="minorEastAsia"/>
          <w:b/>
          <w:bCs/>
          <w:color w:val="000000" w:themeColor="text1"/>
          <w:sz w:val="24"/>
        </w:rPr>
      </w:pPr>
      <w:r w:rsidRPr="00B34368">
        <w:rPr>
          <w:rFonts w:eastAsiaTheme="minorEastAsia"/>
          <w:b/>
          <w:bCs/>
          <w:color w:val="000000" w:themeColor="text1"/>
          <w:sz w:val="24"/>
        </w:rPr>
        <w:t>易方达基金管理有限公司</w:t>
      </w:r>
    </w:p>
    <w:p w:rsidR="009238DB" w:rsidRPr="00B34368" w:rsidRDefault="00D04410" w:rsidP="00B1493B">
      <w:pPr>
        <w:spacing w:line="360" w:lineRule="auto"/>
        <w:jc w:val="right"/>
        <w:rPr>
          <w:rFonts w:eastAsiaTheme="minorEastAsia"/>
          <w:b/>
          <w:bCs/>
          <w:color w:val="000000" w:themeColor="text1"/>
          <w:sz w:val="24"/>
        </w:rPr>
      </w:pPr>
      <w:r w:rsidRPr="00B34368">
        <w:rPr>
          <w:rFonts w:eastAsiaTheme="minorEastAsia"/>
          <w:b/>
          <w:bCs/>
          <w:color w:val="000000" w:themeColor="text1"/>
          <w:sz w:val="24"/>
        </w:rPr>
        <w:t>二〇二〇年一月十八日</w:t>
      </w:r>
    </w:p>
    <w:sectPr w:rsidR="009238DB" w:rsidRPr="00B34368" w:rsidSect="00A8324F">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2E5" w:rsidRDefault="005142E5">
      <w:r>
        <w:separator/>
      </w:r>
    </w:p>
  </w:endnote>
  <w:endnote w:type="continuationSeparator" w:id="0">
    <w:p w:rsidR="005142E5" w:rsidRDefault="00514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Pr="001D0DB0" w:rsidRDefault="007C1122" w:rsidP="00F7094A">
    <w:pPr>
      <w:pStyle w:val="a6"/>
      <w:jc w:val="center"/>
    </w:pPr>
    <w:r>
      <w:rPr>
        <w:rFonts w:hint="eastAsia"/>
        <w:kern w:val="0"/>
        <w:szCs w:val="21"/>
      </w:rPr>
      <w:t>第</w:t>
    </w:r>
    <w:r w:rsidR="00EA55D2">
      <w:rPr>
        <w:kern w:val="0"/>
        <w:szCs w:val="21"/>
      </w:rPr>
      <w:fldChar w:fldCharType="begin"/>
    </w:r>
    <w:r>
      <w:rPr>
        <w:kern w:val="0"/>
        <w:szCs w:val="21"/>
      </w:rPr>
      <w:instrText xml:space="preserve"> PAGE </w:instrText>
    </w:r>
    <w:r w:rsidR="00EA55D2">
      <w:rPr>
        <w:kern w:val="0"/>
        <w:szCs w:val="21"/>
      </w:rPr>
      <w:fldChar w:fldCharType="separate"/>
    </w:r>
    <w:r w:rsidR="008901F2">
      <w:rPr>
        <w:noProof/>
        <w:kern w:val="0"/>
        <w:szCs w:val="21"/>
      </w:rPr>
      <w:t>1</w:t>
    </w:r>
    <w:r w:rsidR="00EA55D2">
      <w:rPr>
        <w:kern w:val="0"/>
        <w:szCs w:val="21"/>
      </w:rPr>
      <w:fldChar w:fldCharType="end"/>
    </w:r>
    <w:r>
      <w:rPr>
        <w:rFonts w:hint="eastAsia"/>
        <w:kern w:val="0"/>
        <w:szCs w:val="21"/>
      </w:rPr>
      <w:t>页共</w:t>
    </w:r>
    <w:r w:rsidR="00EA55D2">
      <w:rPr>
        <w:kern w:val="0"/>
        <w:szCs w:val="21"/>
      </w:rPr>
      <w:fldChar w:fldCharType="begin"/>
    </w:r>
    <w:r>
      <w:rPr>
        <w:kern w:val="0"/>
        <w:szCs w:val="21"/>
      </w:rPr>
      <w:instrText xml:space="preserve"> NUMPAGES </w:instrText>
    </w:r>
    <w:r w:rsidR="00EA55D2">
      <w:rPr>
        <w:kern w:val="0"/>
        <w:szCs w:val="21"/>
      </w:rPr>
      <w:fldChar w:fldCharType="separate"/>
    </w:r>
    <w:r w:rsidR="008901F2">
      <w:rPr>
        <w:noProof/>
        <w:kern w:val="0"/>
        <w:szCs w:val="21"/>
      </w:rPr>
      <w:t>1</w:t>
    </w:r>
    <w:r w:rsidR="00EA55D2">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Default="00EA55D2">
    <w:pPr>
      <w:pStyle w:val="a6"/>
      <w:framePr w:wrap="around" w:vAnchor="text" w:hAnchor="margin" w:xAlign="center" w:y="1"/>
      <w:rPr>
        <w:rStyle w:val="a7"/>
      </w:rPr>
    </w:pPr>
    <w:r>
      <w:rPr>
        <w:rStyle w:val="a7"/>
      </w:rPr>
      <w:fldChar w:fldCharType="begin"/>
    </w:r>
    <w:r w:rsidR="007C1122">
      <w:rPr>
        <w:rStyle w:val="a7"/>
      </w:rPr>
      <w:instrText xml:space="preserve">PAGE  </w:instrText>
    </w:r>
    <w:r>
      <w:rPr>
        <w:rStyle w:val="a7"/>
      </w:rPr>
      <w:fldChar w:fldCharType="end"/>
    </w:r>
  </w:p>
  <w:p w:rsidR="007C1122" w:rsidRDefault="007C112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Default="00EA55D2">
    <w:pPr>
      <w:pStyle w:val="a6"/>
      <w:framePr w:wrap="around" w:vAnchor="text" w:hAnchor="margin" w:xAlign="center" w:y="1"/>
      <w:rPr>
        <w:rStyle w:val="a7"/>
      </w:rPr>
    </w:pPr>
    <w:r>
      <w:rPr>
        <w:rStyle w:val="a7"/>
      </w:rPr>
      <w:fldChar w:fldCharType="begin"/>
    </w:r>
    <w:r w:rsidR="007C1122">
      <w:rPr>
        <w:rStyle w:val="a7"/>
      </w:rPr>
      <w:instrText xml:space="preserve">PAGE  </w:instrText>
    </w:r>
    <w:r>
      <w:rPr>
        <w:rStyle w:val="a7"/>
      </w:rPr>
      <w:fldChar w:fldCharType="separate"/>
    </w:r>
    <w:r w:rsidR="008901F2">
      <w:rPr>
        <w:rStyle w:val="a7"/>
        <w:noProof/>
      </w:rPr>
      <w:t>2</w:t>
    </w:r>
    <w:r>
      <w:rPr>
        <w:rStyle w:val="a7"/>
      </w:rPr>
      <w:fldChar w:fldCharType="end"/>
    </w:r>
  </w:p>
  <w:p w:rsidR="007C1122" w:rsidRDefault="007C11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2E5" w:rsidRDefault="005142E5">
      <w:r>
        <w:separator/>
      </w:r>
    </w:p>
  </w:footnote>
  <w:footnote w:type="continuationSeparator" w:id="0">
    <w:p w:rsidR="005142E5" w:rsidRDefault="005142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Default="007C1122" w:rsidP="001207F2">
    <w:pPr>
      <w:pStyle w:val="a9"/>
      <w:pBdr>
        <w:bottom w:val="single" w:sz="6" w:space="0" w:color="auto"/>
      </w:pBdr>
      <w:jc w:val="right"/>
    </w:pPr>
    <w:r>
      <w:rPr>
        <w:sz w:val="21"/>
        <w:szCs w:val="21"/>
      </w:rPr>
      <w:t>易方达沪深</w:t>
    </w:r>
    <w:r>
      <w:rPr>
        <w:sz w:val="21"/>
        <w:szCs w:val="21"/>
      </w:rPr>
      <w:t>300</w:t>
    </w:r>
    <w:r>
      <w:rPr>
        <w:sz w:val="21"/>
        <w:szCs w:val="21"/>
      </w:rPr>
      <w:t>交易型开放式指数发起式证券投资基金联接基金</w:t>
    </w:r>
    <w:r>
      <w:rPr>
        <w:sz w:val="21"/>
        <w:szCs w:val="21"/>
      </w:rPr>
      <w:t>2019</w:t>
    </w:r>
    <w:r>
      <w:rPr>
        <w:sz w:val="21"/>
        <w:szCs w:val="21"/>
      </w:rPr>
      <w:t>年第</w:t>
    </w:r>
    <w:r>
      <w:rPr>
        <w:sz w:val="21"/>
        <w:szCs w:val="21"/>
      </w:rPr>
      <w:t>4</w:t>
    </w:r>
    <w:r>
      <w:rPr>
        <w:sz w:val="21"/>
        <w:szCs w:val="21"/>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2791"/>
    <w:rsid w:val="0000403B"/>
    <w:rsid w:val="00007441"/>
    <w:rsid w:val="00007F1F"/>
    <w:rsid w:val="00010A83"/>
    <w:rsid w:val="000137C1"/>
    <w:rsid w:val="000142F4"/>
    <w:rsid w:val="00014851"/>
    <w:rsid w:val="0001579C"/>
    <w:rsid w:val="00016551"/>
    <w:rsid w:val="00016934"/>
    <w:rsid w:val="00020737"/>
    <w:rsid w:val="00020C27"/>
    <w:rsid w:val="000219D5"/>
    <w:rsid w:val="00022396"/>
    <w:rsid w:val="00023073"/>
    <w:rsid w:val="00023B97"/>
    <w:rsid w:val="00024836"/>
    <w:rsid w:val="00024FB8"/>
    <w:rsid w:val="000252D8"/>
    <w:rsid w:val="0003564A"/>
    <w:rsid w:val="00035B0C"/>
    <w:rsid w:val="00042065"/>
    <w:rsid w:val="00043FD2"/>
    <w:rsid w:val="00045BA9"/>
    <w:rsid w:val="00047D87"/>
    <w:rsid w:val="000510AB"/>
    <w:rsid w:val="00053FFD"/>
    <w:rsid w:val="00056D5C"/>
    <w:rsid w:val="00057507"/>
    <w:rsid w:val="00061B0B"/>
    <w:rsid w:val="00061E09"/>
    <w:rsid w:val="00062C69"/>
    <w:rsid w:val="00062DC5"/>
    <w:rsid w:val="00062E1F"/>
    <w:rsid w:val="00064601"/>
    <w:rsid w:val="00064AE3"/>
    <w:rsid w:val="0006750A"/>
    <w:rsid w:val="00075E4E"/>
    <w:rsid w:val="000776C0"/>
    <w:rsid w:val="00077849"/>
    <w:rsid w:val="000803AD"/>
    <w:rsid w:val="000813D6"/>
    <w:rsid w:val="00081D05"/>
    <w:rsid w:val="000827CC"/>
    <w:rsid w:val="000871DB"/>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3452"/>
    <w:rsid w:val="000C45E7"/>
    <w:rsid w:val="000C5956"/>
    <w:rsid w:val="000C751D"/>
    <w:rsid w:val="000C757F"/>
    <w:rsid w:val="000C7DD4"/>
    <w:rsid w:val="000D1164"/>
    <w:rsid w:val="000D1BBE"/>
    <w:rsid w:val="000D3773"/>
    <w:rsid w:val="000D4DE9"/>
    <w:rsid w:val="000D53FB"/>
    <w:rsid w:val="000D6660"/>
    <w:rsid w:val="000D6BA0"/>
    <w:rsid w:val="000D7ECA"/>
    <w:rsid w:val="000E2F81"/>
    <w:rsid w:val="000E3726"/>
    <w:rsid w:val="000E39DB"/>
    <w:rsid w:val="000F0558"/>
    <w:rsid w:val="000F0AC3"/>
    <w:rsid w:val="000F175F"/>
    <w:rsid w:val="000F17D1"/>
    <w:rsid w:val="000F1CC9"/>
    <w:rsid w:val="000F5ABD"/>
    <w:rsid w:val="000F60FF"/>
    <w:rsid w:val="000F6F7C"/>
    <w:rsid w:val="001005BB"/>
    <w:rsid w:val="00103B0E"/>
    <w:rsid w:val="001040EA"/>
    <w:rsid w:val="00112BCF"/>
    <w:rsid w:val="00114E7E"/>
    <w:rsid w:val="00117465"/>
    <w:rsid w:val="00117F22"/>
    <w:rsid w:val="00120280"/>
    <w:rsid w:val="001207F2"/>
    <w:rsid w:val="00120862"/>
    <w:rsid w:val="00121533"/>
    <w:rsid w:val="00121F00"/>
    <w:rsid w:val="0012304E"/>
    <w:rsid w:val="00123051"/>
    <w:rsid w:val="001257C7"/>
    <w:rsid w:val="00125E66"/>
    <w:rsid w:val="00126AC0"/>
    <w:rsid w:val="00126C2B"/>
    <w:rsid w:val="00127A01"/>
    <w:rsid w:val="00130D77"/>
    <w:rsid w:val="00131EF6"/>
    <w:rsid w:val="0013251D"/>
    <w:rsid w:val="00134734"/>
    <w:rsid w:val="00134CBE"/>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12"/>
    <w:rsid w:val="00176874"/>
    <w:rsid w:val="0017725A"/>
    <w:rsid w:val="0018052A"/>
    <w:rsid w:val="00180952"/>
    <w:rsid w:val="0018191A"/>
    <w:rsid w:val="001837D3"/>
    <w:rsid w:val="001857CB"/>
    <w:rsid w:val="00185B68"/>
    <w:rsid w:val="00186199"/>
    <w:rsid w:val="00194155"/>
    <w:rsid w:val="001A0417"/>
    <w:rsid w:val="001A0B71"/>
    <w:rsid w:val="001A1389"/>
    <w:rsid w:val="001A3016"/>
    <w:rsid w:val="001A3914"/>
    <w:rsid w:val="001A5FA6"/>
    <w:rsid w:val="001A78CC"/>
    <w:rsid w:val="001B053A"/>
    <w:rsid w:val="001B06D5"/>
    <w:rsid w:val="001B0C78"/>
    <w:rsid w:val="001B1A13"/>
    <w:rsid w:val="001B22BA"/>
    <w:rsid w:val="001B67D3"/>
    <w:rsid w:val="001C2045"/>
    <w:rsid w:val="001C5040"/>
    <w:rsid w:val="001C715A"/>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028"/>
    <w:rsid w:val="001F5F5F"/>
    <w:rsid w:val="001F66D3"/>
    <w:rsid w:val="00205064"/>
    <w:rsid w:val="0020548A"/>
    <w:rsid w:val="00206EC3"/>
    <w:rsid w:val="00211668"/>
    <w:rsid w:val="002118A6"/>
    <w:rsid w:val="002122FF"/>
    <w:rsid w:val="002125F7"/>
    <w:rsid w:val="0021288A"/>
    <w:rsid w:val="002150AC"/>
    <w:rsid w:val="002164B5"/>
    <w:rsid w:val="00221938"/>
    <w:rsid w:val="00222262"/>
    <w:rsid w:val="002230A8"/>
    <w:rsid w:val="00225E1C"/>
    <w:rsid w:val="00227D20"/>
    <w:rsid w:val="00231BCE"/>
    <w:rsid w:val="00233CFB"/>
    <w:rsid w:val="002359EB"/>
    <w:rsid w:val="0023649E"/>
    <w:rsid w:val="00241740"/>
    <w:rsid w:val="002424E4"/>
    <w:rsid w:val="00243122"/>
    <w:rsid w:val="002437F5"/>
    <w:rsid w:val="00244DB1"/>
    <w:rsid w:val="00245012"/>
    <w:rsid w:val="0024504E"/>
    <w:rsid w:val="0024651F"/>
    <w:rsid w:val="00246874"/>
    <w:rsid w:val="00246D81"/>
    <w:rsid w:val="00250869"/>
    <w:rsid w:val="00251920"/>
    <w:rsid w:val="00253D3C"/>
    <w:rsid w:val="00254A7E"/>
    <w:rsid w:val="00255292"/>
    <w:rsid w:val="00256047"/>
    <w:rsid w:val="0025722F"/>
    <w:rsid w:val="00257E84"/>
    <w:rsid w:val="00260200"/>
    <w:rsid w:val="00263106"/>
    <w:rsid w:val="002642F2"/>
    <w:rsid w:val="00264AE1"/>
    <w:rsid w:val="00266645"/>
    <w:rsid w:val="00267386"/>
    <w:rsid w:val="00267C2E"/>
    <w:rsid w:val="00267DA9"/>
    <w:rsid w:val="00275FD0"/>
    <w:rsid w:val="00280514"/>
    <w:rsid w:val="002819E7"/>
    <w:rsid w:val="00282FF2"/>
    <w:rsid w:val="00283483"/>
    <w:rsid w:val="002844B5"/>
    <w:rsid w:val="0028459B"/>
    <w:rsid w:val="002872F8"/>
    <w:rsid w:val="00296E4A"/>
    <w:rsid w:val="002976E5"/>
    <w:rsid w:val="002A1F14"/>
    <w:rsid w:val="002A2678"/>
    <w:rsid w:val="002A3369"/>
    <w:rsid w:val="002A4B8A"/>
    <w:rsid w:val="002A5161"/>
    <w:rsid w:val="002A5C0F"/>
    <w:rsid w:val="002A61BA"/>
    <w:rsid w:val="002A6385"/>
    <w:rsid w:val="002A7929"/>
    <w:rsid w:val="002B41D7"/>
    <w:rsid w:val="002B5240"/>
    <w:rsid w:val="002B6A13"/>
    <w:rsid w:val="002C0904"/>
    <w:rsid w:val="002C0F67"/>
    <w:rsid w:val="002C1E84"/>
    <w:rsid w:val="002C32ED"/>
    <w:rsid w:val="002C36C3"/>
    <w:rsid w:val="002C77CC"/>
    <w:rsid w:val="002D2A00"/>
    <w:rsid w:val="002D5199"/>
    <w:rsid w:val="002E2862"/>
    <w:rsid w:val="002E4C01"/>
    <w:rsid w:val="002F0516"/>
    <w:rsid w:val="002F22D2"/>
    <w:rsid w:val="002F778A"/>
    <w:rsid w:val="002F7889"/>
    <w:rsid w:val="00302187"/>
    <w:rsid w:val="003028D8"/>
    <w:rsid w:val="0030290F"/>
    <w:rsid w:val="00302DE9"/>
    <w:rsid w:val="0030385E"/>
    <w:rsid w:val="00303869"/>
    <w:rsid w:val="00303F1D"/>
    <w:rsid w:val="00305084"/>
    <w:rsid w:val="00311ABF"/>
    <w:rsid w:val="003123E9"/>
    <w:rsid w:val="00314A81"/>
    <w:rsid w:val="00314DD2"/>
    <w:rsid w:val="00315A7C"/>
    <w:rsid w:val="00317705"/>
    <w:rsid w:val="003204E9"/>
    <w:rsid w:val="003232AA"/>
    <w:rsid w:val="00323A10"/>
    <w:rsid w:val="00323E6A"/>
    <w:rsid w:val="00323F25"/>
    <w:rsid w:val="00324A71"/>
    <w:rsid w:val="003303E3"/>
    <w:rsid w:val="0033236C"/>
    <w:rsid w:val="00334656"/>
    <w:rsid w:val="00337A86"/>
    <w:rsid w:val="0034147B"/>
    <w:rsid w:val="00341889"/>
    <w:rsid w:val="003426CE"/>
    <w:rsid w:val="00343016"/>
    <w:rsid w:val="0034447B"/>
    <w:rsid w:val="00350C22"/>
    <w:rsid w:val="00351704"/>
    <w:rsid w:val="003570C8"/>
    <w:rsid w:val="00367770"/>
    <w:rsid w:val="00371424"/>
    <w:rsid w:val="00371FF4"/>
    <w:rsid w:val="00372209"/>
    <w:rsid w:val="00377160"/>
    <w:rsid w:val="003771ED"/>
    <w:rsid w:val="0037768B"/>
    <w:rsid w:val="00382E6F"/>
    <w:rsid w:val="00387C00"/>
    <w:rsid w:val="00397960"/>
    <w:rsid w:val="00397F75"/>
    <w:rsid w:val="003A2008"/>
    <w:rsid w:val="003A3BC4"/>
    <w:rsid w:val="003A4AA3"/>
    <w:rsid w:val="003B405E"/>
    <w:rsid w:val="003B4843"/>
    <w:rsid w:val="003B494E"/>
    <w:rsid w:val="003B560C"/>
    <w:rsid w:val="003C69C1"/>
    <w:rsid w:val="003C6E9E"/>
    <w:rsid w:val="003C792F"/>
    <w:rsid w:val="003D117A"/>
    <w:rsid w:val="003D36B2"/>
    <w:rsid w:val="003D42D5"/>
    <w:rsid w:val="003D78B5"/>
    <w:rsid w:val="003E0BD4"/>
    <w:rsid w:val="003E45B9"/>
    <w:rsid w:val="003E654C"/>
    <w:rsid w:val="003F0DE5"/>
    <w:rsid w:val="003F46FC"/>
    <w:rsid w:val="003F4AA5"/>
    <w:rsid w:val="003F697D"/>
    <w:rsid w:val="003F7C45"/>
    <w:rsid w:val="00400500"/>
    <w:rsid w:val="0040132C"/>
    <w:rsid w:val="0040218E"/>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8BB"/>
    <w:rsid w:val="0042785F"/>
    <w:rsid w:val="004314FF"/>
    <w:rsid w:val="004358D6"/>
    <w:rsid w:val="004408EC"/>
    <w:rsid w:val="00440F74"/>
    <w:rsid w:val="00441FEC"/>
    <w:rsid w:val="004425E8"/>
    <w:rsid w:val="0044280E"/>
    <w:rsid w:val="00443C8F"/>
    <w:rsid w:val="00447BC6"/>
    <w:rsid w:val="004501CE"/>
    <w:rsid w:val="00452481"/>
    <w:rsid w:val="00452B25"/>
    <w:rsid w:val="00453417"/>
    <w:rsid w:val="00454A0F"/>
    <w:rsid w:val="0046335D"/>
    <w:rsid w:val="00463C2C"/>
    <w:rsid w:val="00483271"/>
    <w:rsid w:val="0049210E"/>
    <w:rsid w:val="0049297D"/>
    <w:rsid w:val="0049327D"/>
    <w:rsid w:val="0049405D"/>
    <w:rsid w:val="0049455C"/>
    <w:rsid w:val="00495A03"/>
    <w:rsid w:val="004A1BE1"/>
    <w:rsid w:val="004A63CB"/>
    <w:rsid w:val="004A67B0"/>
    <w:rsid w:val="004A6FB2"/>
    <w:rsid w:val="004B0847"/>
    <w:rsid w:val="004B0E6D"/>
    <w:rsid w:val="004B16E8"/>
    <w:rsid w:val="004B54B8"/>
    <w:rsid w:val="004C0541"/>
    <w:rsid w:val="004C634A"/>
    <w:rsid w:val="004C660B"/>
    <w:rsid w:val="004D050C"/>
    <w:rsid w:val="004D23D9"/>
    <w:rsid w:val="004D3537"/>
    <w:rsid w:val="004D45B6"/>
    <w:rsid w:val="004D4D4E"/>
    <w:rsid w:val="004D614E"/>
    <w:rsid w:val="004D650F"/>
    <w:rsid w:val="004E2133"/>
    <w:rsid w:val="004E4E04"/>
    <w:rsid w:val="004F521C"/>
    <w:rsid w:val="005002A3"/>
    <w:rsid w:val="00502CD8"/>
    <w:rsid w:val="0050361C"/>
    <w:rsid w:val="0050527A"/>
    <w:rsid w:val="00506A40"/>
    <w:rsid w:val="0051064F"/>
    <w:rsid w:val="00513A0E"/>
    <w:rsid w:val="005142E5"/>
    <w:rsid w:val="00515D7B"/>
    <w:rsid w:val="00515F29"/>
    <w:rsid w:val="0052009E"/>
    <w:rsid w:val="00524880"/>
    <w:rsid w:val="00530161"/>
    <w:rsid w:val="005413D4"/>
    <w:rsid w:val="0054389B"/>
    <w:rsid w:val="005450F7"/>
    <w:rsid w:val="00545A0B"/>
    <w:rsid w:val="00545BED"/>
    <w:rsid w:val="0054672F"/>
    <w:rsid w:val="00547A9A"/>
    <w:rsid w:val="00547FA4"/>
    <w:rsid w:val="005536D4"/>
    <w:rsid w:val="00553EC8"/>
    <w:rsid w:val="005564EE"/>
    <w:rsid w:val="00557D4A"/>
    <w:rsid w:val="0056176B"/>
    <w:rsid w:val="00561889"/>
    <w:rsid w:val="005621F6"/>
    <w:rsid w:val="0056291C"/>
    <w:rsid w:val="005668D3"/>
    <w:rsid w:val="00566EBD"/>
    <w:rsid w:val="0057154B"/>
    <w:rsid w:val="005742DB"/>
    <w:rsid w:val="00577209"/>
    <w:rsid w:val="005800A9"/>
    <w:rsid w:val="00581139"/>
    <w:rsid w:val="00581645"/>
    <w:rsid w:val="00583723"/>
    <w:rsid w:val="0058694E"/>
    <w:rsid w:val="005875F9"/>
    <w:rsid w:val="00593A35"/>
    <w:rsid w:val="00593C74"/>
    <w:rsid w:val="00597D8B"/>
    <w:rsid w:val="005A46FF"/>
    <w:rsid w:val="005A557E"/>
    <w:rsid w:val="005A63FD"/>
    <w:rsid w:val="005B462A"/>
    <w:rsid w:val="005B5137"/>
    <w:rsid w:val="005B6047"/>
    <w:rsid w:val="005C0ED7"/>
    <w:rsid w:val="005C5409"/>
    <w:rsid w:val="005C6FF7"/>
    <w:rsid w:val="005C7D00"/>
    <w:rsid w:val="005D01A4"/>
    <w:rsid w:val="005D0BAB"/>
    <w:rsid w:val="005D1893"/>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101F5"/>
    <w:rsid w:val="00610DA5"/>
    <w:rsid w:val="00611663"/>
    <w:rsid w:val="0061321C"/>
    <w:rsid w:val="00613F44"/>
    <w:rsid w:val="006160BD"/>
    <w:rsid w:val="0061679A"/>
    <w:rsid w:val="00617125"/>
    <w:rsid w:val="00620EDB"/>
    <w:rsid w:val="0062386E"/>
    <w:rsid w:val="00623DB6"/>
    <w:rsid w:val="00624EDE"/>
    <w:rsid w:val="006253EF"/>
    <w:rsid w:val="00626075"/>
    <w:rsid w:val="0062680E"/>
    <w:rsid w:val="00631158"/>
    <w:rsid w:val="00632923"/>
    <w:rsid w:val="006341E6"/>
    <w:rsid w:val="00634439"/>
    <w:rsid w:val="006366C6"/>
    <w:rsid w:val="00636B55"/>
    <w:rsid w:val="00636EB1"/>
    <w:rsid w:val="006373D6"/>
    <w:rsid w:val="006403D4"/>
    <w:rsid w:val="00642CBC"/>
    <w:rsid w:val="00643760"/>
    <w:rsid w:val="0064454A"/>
    <w:rsid w:val="00645293"/>
    <w:rsid w:val="0064698F"/>
    <w:rsid w:val="00651B78"/>
    <w:rsid w:val="0065237A"/>
    <w:rsid w:val="00652FF5"/>
    <w:rsid w:val="00654382"/>
    <w:rsid w:val="00654758"/>
    <w:rsid w:val="00661244"/>
    <w:rsid w:val="006640DF"/>
    <w:rsid w:val="00666A3C"/>
    <w:rsid w:val="00667519"/>
    <w:rsid w:val="006676A0"/>
    <w:rsid w:val="00670857"/>
    <w:rsid w:val="00670868"/>
    <w:rsid w:val="00673D69"/>
    <w:rsid w:val="00676431"/>
    <w:rsid w:val="0068050D"/>
    <w:rsid w:val="00685FFC"/>
    <w:rsid w:val="00686943"/>
    <w:rsid w:val="00686EDE"/>
    <w:rsid w:val="00687AD5"/>
    <w:rsid w:val="00690A31"/>
    <w:rsid w:val="006911CE"/>
    <w:rsid w:val="00695251"/>
    <w:rsid w:val="00695B58"/>
    <w:rsid w:val="0069798D"/>
    <w:rsid w:val="006A4828"/>
    <w:rsid w:val="006A7C09"/>
    <w:rsid w:val="006B046C"/>
    <w:rsid w:val="006B252F"/>
    <w:rsid w:val="006B3940"/>
    <w:rsid w:val="006B3FDB"/>
    <w:rsid w:val="006B66FE"/>
    <w:rsid w:val="006C168D"/>
    <w:rsid w:val="006C4033"/>
    <w:rsid w:val="006C642C"/>
    <w:rsid w:val="006D3BC4"/>
    <w:rsid w:val="006D7386"/>
    <w:rsid w:val="006E0DAD"/>
    <w:rsid w:val="006E313F"/>
    <w:rsid w:val="006E3EFB"/>
    <w:rsid w:val="006F1F1A"/>
    <w:rsid w:val="006F5AC2"/>
    <w:rsid w:val="006F5B4C"/>
    <w:rsid w:val="006F6C28"/>
    <w:rsid w:val="007007EB"/>
    <w:rsid w:val="00701F57"/>
    <w:rsid w:val="00703E8A"/>
    <w:rsid w:val="00706046"/>
    <w:rsid w:val="007112F0"/>
    <w:rsid w:val="00711343"/>
    <w:rsid w:val="00714309"/>
    <w:rsid w:val="0071450F"/>
    <w:rsid w:val="00714C6F"/>
    <w:rsid w:val="0071681D"/>
    <w:rsid w:val="00717772"/>
    <w:rsid w:val="00721DBE"/>
    <w:rsid w:val="007226EC"/>
    <w:rsid w:val="00722B5E"/>
    <w:rsid w:val="00724F6D"/>
    <w:rsid w:val="0072678C"/>
    <w:rsid w:val="00732D1D"/>
    <w:rsid w:val="007350D4"/>
    <w:rsid w:val="00736034"/>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B8"/>
    <w:rsid w:val="007661D4"/>
    <w:rsid w:val="007661FD"/>
    <w:rsid w:val="00766A7C"/>
    <w:rsid w:val="00767A27"/>
    <w:rsid w:val="0077111A"/>
    <w:rsid w:val="00775419"/>
    <w:rsid w:val="007763A5"/>
    <w:rsid w:val="0078008C"/>
    <w:rsid w:val="0078105B"/>
    <w:rsid w:val="00782390"/>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04A1"/>
    <w:rsid w:val="007C1122"/>
    <w:rsid w:val="007C19EC"/>
    <w:rsid w:val="007C364E"/>
    <w:rsid w:val="007C5359"/>
    <w:rsid w:val="007C6701"/>
    <w:rsid w:val="007D16ED"/>
    <w:rsid w:val="007D2398"/>
    <w:rsid w:val="007D440B"/>
    <w:rsid w:val="007D5908"/>
    <w:rsid w:val="007D62F9"/>
    <w:rsid w:val="007D63A4"/>
    <w:rsid w:val="007D732D"/>
    <w:rsid w:val="007E0F19"/>
    <w:rsid w:val="007E2A84"/>
    <w:rsid w:val="007E5ECB"/>
    <w:rsid w:val="007F063D"/>
    <w:rsid w:val="007F0D73"/>
    <w:rsid w:val="007F2FC8"/>
    <w:rsid w:val="007F432A"/>
    <w:rsid w:val="007F63AA"/>
    <w:rsid w:val="008006B7"/>
    <w:rsid w:val="008032FD"/>
    <w:rsid w:val="00806461"/>
    <w:rsid w:val="008064CE"/>
    <w:rsid w:val="0080673A"/>
    <w:rsid w:val="00807A94"/>
    <w:rsid w:val="00810B79"/>
    <w:rsid w:val="00810EAD"/>
    <w:rsid w:val="00812803"/>
    <w:rsid w:val="008129C0"/>
    <w:rsid w:val="00813B0C"/>
    <w:rsid w:val="00814530"/>
    <w:rsid w:val="00815386"/>
    <w:rsid w:val="00821F9C"/>
    <w:rsid w:val="00825570"/>
    <w:rsid w:val="00826403"/>
    <w:rsid w:val="00827990"/>
    <w:rsid w:val="00834CA6"/>
    <w:rsid w:val="0083623B"/>
    <w:rsid w:val="008379E4"/>
    <w:rsid w:val="00837E59"/>
    <w:rsid w:val="00842100"/>
    <w:rsid w:val="008428A9"/>
    <w:rsid w:val="0084308F"/>
    <w:rsid w:val="00846C2B"/>
    <w:rsid w:val="0085139A"/>
    <w:rsid w:val="008524F6"/>
    <w:rsid w:val="00854B3F"/>
    <w:rsid w:val="00861C2C"/>
    <w:rsid w:val="008668B8"/>
    <w:rsid w:val="00866D32"/>
    <w:rsid w:val="0086748F"/>
    <w:rsid w:val="00867B4D"/>
    <w:rsid w:val="00867CF3"/>
    <w:rsid w:val="00870278"/>
    <w:rsid w:val="00874AB5"/>
    <w:rsid w:val="008750A9"/>
    <w:rsid w:val="00875A68"/>
    <w:rsid w:val="00877671"/>
    <w:rsid w:val="00877A13"/>
    <w:rsid w:val="008869BC"/>
    <w:rsid w:val="00887DDD"/>
    <w:rsid w:val="00887DE6"/>
    <w:rsid w:val="00887E9F"/>
    <w:rsid w:val="008901F2"/>
    <w:rsid w:val="008908AA"/>
    <w:rsid w:val="00890E08"/>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DDD"/>
    <w:rsid w:val="008E58D6"/>
    <w:rsid w:val="008F1426"/>
    <w:rsid w:val="008F2125"/>
    <w:rsid w:val="008F23F4"/>
    <w:rsid w:val="008F61C4"/>
    <w:rsid w:val="008F7763"/>
    <w:rsid w:val="009007CB"/>
    <w:rsid w:val="009010F0"/>
    <w:rsid w:val="00901162"/>
    <w:rsid w:val="00901D46"/>
    <w:rsid w:val="009028E2"/>
    <w:rsid w:val="00903692"/>
    <w:rsid w:val="00904E07"/>
    <w:rsid w:val="00912BAF"/>
    <w:rsid w:val="00914EAB"/>
    <w:rsid w:val="0091541F"/>
    <w:rsid w:val="009165E9"/>
    <w:rsid w:val="00920D98"/>
    <w:rsid w:val="0092249B"/>
    <w:rsid w:val="00922D49"/>
    <w:rsid w:val="009238DB"/>
    <w:rsid w:val="00925E37"/>
    <w:rsid w:val="00925EDD"/>
    <w:rsid w:val="00930079"/>
    <w:rsid w:val="00930966"/>
    <w:rsid w:val="00932F64"/>
    <w:rsid w:val="00936075"/>
    <w:rsid w:val="00936D40"/>
    <w:rsid w:val="00937445"/>
    <w:rsid w:val="00937ABF"/>
    <w:rsid w:val="00937DB1"/>
    <w:rsid w:val="009407FE"/>
    <w:rsid w:val="009463CC"/>
    <w:rsid w:val="00950413"/>
    <w:rsid w:val="0095078E"/>
    <w:rsid w:val="00952404"/>
    <w:rsid w:val="00952A72"/>
    <w:rsid w:val="009530AC"/>
    <w:rsid w:val="009550A8"/>
    <w:rsid w:val="00955FF2"/>
    <w:rsid w:val="0095693D"/>
    <w:rsid w:val="00956B0D"/>
    <w:rsid w:val="0096260B"/>
    <w:rsid w:val="009631C1"/>
    <w:rsid w:val="00963918"/>
    <w:rsid w:val="00970C69"/>
    <w:rsid w:val="00973B57"/>
    <w:rsid w:val="00973E0D"/>
    <w:rsid w:val="0097403F"/>
    <w:rsid w:val="00975D18"/>
    <w:rsid w:val="00976797"/>
    <w:rsid w:val="00980C0C"/>
    <w:rsid w:val="00982E47"/>
    <w:rsid w:val="00983E7D"/>
    <w:rsid w:val="00985F0E"/>
    <w:rsid w:val="00986963"/>
    <w:rsid w:val="00990ABB"/>
    <w:rsid w:val="00991642"/>
    <w:rsid w:val="0099260C"/>
    <w:rsid w:val="009942F4"/>
    <w:rsid w:val="00995B3C"/>
    <w:rsid w:val="009A045B"/>
    <w:rsid w:val="009A0513"/>
    <w:rsid w:val="009A2283"/>
    <w:rsid w:val="009A31AF"/>
    <w:rsid w:val="009A3507"/>
    <w:rsid w:val="009A5C1D"/>
    <w:rsid w:val="009B4286"/>
    <w:rsid w:val="009B5BF9"/>
    <w:rsid w:val="009B5DAF"/>
    <w:rsid w:val="009B5F83"/>
    <w:rsid w:val="009B61C5"/>
    <w:rsid w:val="009B769E"/>
    <w:rsid w:val="009C03E5"/>
    <w:rsid w:val="009C4D19"/>
    <w:rsid w:val="009C5FDB"/>
    <w:rsid w:val="009C65AF"/>
    <w:rsid w:val="009C67A4"/>
    <w:rsid w:val="009C70CB"/>
    <w:rsid w:val="009C74DD"/>
    <w:rsid w:val="009D27AA"/>
    <w:rsid w:val="009D2AD9"/>
    <w:rsid w:val="009D514E"/>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1C74"/>
    <w:rsid w:val="00A02F5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2E07"/>
    <w:rsid w:val="00A26437"/>
    <w:rsid w:val="00A32410"/>
    <w:rsid w:val="00A32B48"/>
    <w:rsid w:val="00A36D00"/>
    <w:rsid w:val="00A43389"/>
    <w:rsid w:val="00A4642E"/>
    <w:rsid w:val="00A47AF8"/>
    <w:rsid w:val="00A50AC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5B37"/>
    <w:rsid w:val="00A96B6F"/>
    <w:rsid w:val="00AA0CE8"/>
    <w:rsid w:val="00AA35FD"/>
    <w:rsid w:val="00AA3DB7"/>
    <w:rsid w:val="00AA5F63"/>
    <w:rsid w:val="00AA7EBD"/>
    <w:rsid w:val="00AB2431"/>
    <w:rsid w:val="00AB69EF"/>
    <w:rsid w:val="00AC11DC"/>
    <w:rsid w:val="00AC3E87"/>
    <w:rsid w:val="00AC469F"/>
    <w:rsid w:val="00AD0611"/>
    <w:rsid w:val="00AD0E4F"/>
    <w:rsid w:val="00AD26D7"/>
    <w:rsid w:val="00AD3905"/>
    <w:rsid w:val="00AD4555"/>
    <w:rsid w:val="00AD4A31"/>
    <w:rsid w:val="00AD5638"/>
    <w:rsid w:val="00AD7214"/>
    <w:rsid w:val="00AE1066"/>
    <w:rsid w:val="00AE12A4"/>
    <w:rsid w:val="00AE2E1B"/>
    <w:rsid w:val="00AE33EA"/>
    <w:rsid w:val="00AE5129"/>
    <w:rsid w:val="00AE5645"/>
    <w:rsid w:val="00AF1D6B"/>
    <w:rsid w:val="00AF24AA"/>
    <w:rsid w:val="00AF3AF9"/>
    <w:rsid w:val="00AF3E5F"/>
    <w:rsid w:val="00AF4F09"/>
    <w:rsid w:val="00AF643E"/>
    <w:rsid w:val="00AF79C8"/>
    <w:rsid w:val="00B007B6"/>
    <w:rsid w:val="00B00FA8"/>
    <w:rsid w:val="00B011B0"/>
    <w:rsid w:val="00B0270C"/>
    <w:rsid w:val="00B0391C"/>
    <w:rsid w:val="00B047F6"/>
    <w:rsid w:val="00B06019"/>
    <w:rsid w:val="00B0700F"/>
    <w:rsid w:val="00B1493B"/>
    <w:rsid w:val="00B15119"/>
    <w:rsid w:val="00B17169"/>
    <w:rsid w:val="00B20F47"/>
    <w:rsid w:val="00B23996"/>
    <w:rsid w:val="00B23CB2"/>
    <w:rsid w:val="00B24A18"/>
    <w:rsid w:val="00B255C5"/>
    <w:rsid w:val="00B25807"/>
    <w:rsid w:val="00B268B3"/>
    <w:rsid w:val="00B268DD"/>
    <w:rsid w:val="00B32AE1"/>
    <w:rsid w:val="00B34368"/>
    <w:rsid w:val="00B37780"/>
    <w:rsid w:val="00B37813"/>
    <w:rsid w:val="00B37EEF"/>
    <w:rsid w:val="00B411CD"/>
    <w:rsid w:val="00B41ABB"/>
    <w:rsid w:val="00B41C1D"/>
    <w:rsid w:val="00B43917"/>
    <w:rsid w:val="00B43E1E"/>
    <w:rsid w:val="00B4515C"/>
    <w:rsid w:val="00B46220"/>
    <w:rsid w:val="00B464EA"/>
    <w:rsid w:val="00B47574"/>
    <w:rsid w:val="00B52BE7"/>
    <w:rsid w:val="00B5430C"/>
    <w:rsid w:val="00B56A90"/>
    <w:rsid w:val="00B5711C"/>
    <w:rsid w:val="00B57BCF"/>
    <w:rsid w:val="00B57E36"/>
    <w:rsid w:val="00B60209"/>
    <w:rsid w:val="00B606A3"/>
    <w:rsid w:val="00B65D6F"/>
    <w:rsid w:val="00B673F3"/>
    <w:rsid w:val="00B67A25"/>
    <w:rsid w:val="00B70229"/>
    <w:rsid w:val="00B7354A"/>
    <w:rsid w:val="00B7435B"/>
    <w:rsid w:val="00B74446"/>
    <w:rsid w:val="00B74B59"/>
    <w:rsid w:val="00B77142"/>
    <w:rsid w:val="00B8024E"/>
    <w:rsid w:val="00B80C3A"/>
    <w:rsid w:val="00B81633"/>
    <w:rsid w:val="00B84643"/>
    <w:rsid w:val="00B90452"/>
    <w:rsid w:val="00B90780"/>
    <w:rsid w:val="00B916D6"/>
    <w:rsid w:val="00B91AD8"/>
    <w:rsid w:val="00B9209B"/>
    <w:rsid w:val="00B9240D"/>
    <w:rsid w:val="00B95753"/>
    <w:rsid w:val="00B97E42"/>
    <w:rsid w:val="00BA0C05"/>
    <w:rsid w:val="00BA54D0"/>
    <w:rsid w:val="00BA7532"/>
    <w:rsid w:val="00BB1013"/>
    <w:rsid w:val="00BB4515"/>
    <w:rsid w:val="00BB7B89"/>
    <w:rsid w:val="00BC1A9B"/>
    <w:rsid w:val="00BC2A22"/>
    <w:rsid w:val="00BC4986"/>
    <w:rsid w:val="00BC5E2E"/>
    <w:rsid w:val="00BC6379"/>
    <w:rsid w:val="00BC7EEF"/>
    <w:rsid w:val="00BD43BB"/>
    <w:rsid w:val="00BD7ADE"/>
    <w:rsid w:val="00BE1A85"/>
    <w:rsid w:val="00BE46ED"/>
    <w:rsid w:val="00BE4FD1"/>
    <w:rsid w:val="00BE642D"/>
    <w:rsid w:val="00BE6D7A"/>
    <w:rsid w:val="00BF2511"/>
    <w:rsid w:val="00BF377F"/>
    <w:rsid w:val="00BF3F88"/>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5BB7"/>
    <w:rsid w:val="00C36B35"/>
    <w:rsid w:val="00C400CD"/>
    <w:rsid w:val="00C41617"/>
    <w:rsid w:val="00C4309A"/>
    <w:rsid w:val="00C43F23"/>
    <w:rsid w:val="00C43FF1"/>
    <w:rsid w:val="00C45494"/>
    <w:rsid w:val="00C52D18"/>
    <w:rsid w:val="00C544B8"/>
    <w:rsid w:val="00C559CE"/>
    <w:rsid w:val="00C55E19"/>
    <w:rsid w:val="00C563BF"/>
    <w:rsid w:val="00C57512"/>
    <w:rsid w:val="00C57607"/>
    <w:rsid w:val="00C61133"/>
    <w:rsid w:val="00C64009"/>
    <w:rsid w:val="00C7016D"/>
    <w:rsid w:val="00C767B3"/>
    <w:rsid w:val="00C76C07"/>
    <w:rsid w:val="00C80F23"/>
    <w:rsid w:val="00C835B4"/>
    <w:rsid w:val="00C850A3"/>
    <w:rsid w:val="00C87568"/>
    <w:rsid w:val="00C92451"/>
    <w:rsid w:val="00C9272C"/>
    <w:rsid w:val="00C97764"/>
    <w:rsid w:val="00C97C9B"/>
    <w:rsid w:val="00CA344C"/>
    <w:rsid w:val="00CB142D"/>
    <w:rsid w:val="00CB26C7"/>
    <w:rsid w:val="00CB29F6"/>
    <w:rsid w:val="00CB2BBF"/>
    <w:rsid w:val="00CB481C"/>
    <w:rsid w:val="00CB4C8C"/>
    <w:rsid w:val="00CB62E1"/>
    <w:rsid w:val="00CB6EFE"/>
    <w:rsid w:val="00CC16F9"/>
    <w:rsid w:val="00CC28A9"/>
    <w:rsid w:val="00CC4183"/>
    <w:rsid w:val="00CC6928"/>
    <w:rsid w:val="00CC70A4"/>
    <w:rsid w:val="00CD2BA8"/>
    <w:rsid w:val="00CD4A0C"/>
    <w:rsid w:val="00CD5CEF"/>
    <w:rsid w:val="00CE06EC"/>
    <w:rsid w:val="00CE1F8A"/>
    <w:rsid w:val="00CE592E"/>
    <w:rsid w:val="00CE5BC5"/>
    <w:rsid w:val="00CF16A4"/>
    <w:rsid w:val="00CF299F"/>
    <w:rsid w:val="00CF3357"/>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27EA0"/>
    <w:rsid w:val="00D305C9"/>
    <w:rsid w:val="00D3194F"/>
    <w:rsid w:val="00D33751"/>
    <w:rsid w:val="00D3639B"/>
    <w:rsid w:val="00D37343"/>
    <w:rsid w:val="00D37495"/>
    <w:rsid w:val="00D41727"/>
    <w:rsid w:val="00D427E4"/>
    <w:rsid w:val="00D45F1B"/>
    <w:rsid w:val="00D472A5"/>
    <w:rsid w:val="00D52289"/>
    <w:rsid w:val="00D55A37"/>
    <w:rsid w:val="00D55B7E"/>
    <w:rsid w:val="00D64354"/>
    <w:rsid w:val="00D66685"/>
    <w:rsid w:val="00D70D35"/>
    <w:rsid w:val="00D71351"/>
    <w:rsid w:val="00D71997"/>
    <w:rsid w:val="00D753E9"/>
    <w:rsid w:val="00D777B9"/>
    <w:rsid w:val="00D82273"/>
    <w:rsid w:val="00D82FA5"/>
    <w:rsid w:val="00D84A4B"/>
    <w:rsid w:val="00D84B45"/>
    <w:rsid w:val="00D857AE"/>
    <w:rsid w:val="00D8623D"/>
    <w:rsid w:val="00D867FB"/>
    <w:rsid w:val="00D873C4"/>
    <w:rsid w:val="00D9110D"/>
    <w:rsid w:val="00D91124"/>
    <w:rsid w:val="00D91987"/>
    <w:rsid w:val="00D92168"/>
    <w:rsid w:val="00D93426"/>
    <w:rsid w:val="00D94B22"/>
    <w:rsid w:val="00D958D3"/>
    <w:rsid w:val="00D9594F"/>
    <w:rsid w:val="00D97213"/>
    <w:rsid w:val="00DA0C95"/>
    <w:rsid w:val="00DA134E"/>
    <w:rsid w:val="00DA13F3"/>
    <w:rsid w:val="00DA2DE3"/>
    <w:rsid w:val="00DA47D9"/>
    <w:rsid w:val="00DA64AF"/>
    <w:rsid w:val="00DB1F4F"/>
    <w:rsid w:val="00DB2AC7"/>
    <w:rsid w:val="00DB704C"/>
    <w:rsid w:val="00DC693B"/>
    <w:rsid w:val="00DC7C77"/>
    <w:rsid w:val="00DD0F5D"/>
    <w:rsid w:val="00DD426D"/>
    <w:rsid w:val="00DD74FC"/>
    <w:rsid w:val="00DE117F"/>
    <w:rsid w:val="00DE1769"/>
    <w:rsid w:val="00DE1A17"/>
    <w:rsid w:val="00DE1D7B"/>
    <w:rsid w:val="00DE44C8"/>
    <w:rsid w:val="00DE64CC"/>
    <w:rsid w:val="00DE6AA9"/>
    <w:rsid w:val="00DE7B30"/>
    <w:rsid w:val="00DF20C7"/>
    <w:rsid w:val="00DF4D0C"/>
    <w:rsid w:val="00DF5C20"/>
    <w:rsid w:val="00DF7D81"/>
    <w:rsid w:val="00E02DEB"/>
    <w:rsid w:val="00E03486"/>
    <w:rsid w:val="00E0405A"/>
    <w:rsid w:val="00E042A1"/>
    <w:rsid w:val="00E0476C"/>
    <w:rsid w:val="00E0576B"/>
    <w:rsid w:val="00E067EA"/>
    <w:rsid w:val="00E06D18"/>
    <w:rsid w:val="00E104FA"/>
    <w:rsid w:val="00E1320D"/>
    <w:rsid w:val="00E15FD1"/>
    <w:rsid w:val="00E16022"/>
    <w:rsid w:val="00E1738C"/>
    <w:rsid w:val="00E174FF"/>
    <w:rsid w:val="00E205AA"/>
    <w:rsid w:val="00E22296"/>
    <w:rsid w:val="00E27360"/>
    <w:rsid w:val="00E27C04"/>
    <w:rsid w:val="00E30713"/>
    <w:rsid w:val="00E30EDF"/>
    <w:rsid w:val="00E31FBA"/>
    <w:rsid w:val="00E328E2"/>
    <w:rsid w:val="00E336BB"/>
    <w:rsid w:val="00E3384E"/>
    <w:rsid w:val="00E374C8"/>
    <w:rsid w:val="00E4042D"/>
    <w:rsid w:val="00E4135D"/>
    <w:rsid w:val="00E43750"/>
    <w:rsid w:val="00E508EB"/>
    <w:rsid w:val="00E50A31"/>
    <w:rsid w:val="00E521E3"/>
    <w:rsid w:val="00E53B7A"/>
    <w:rsid w:val="00E550C9"/>
    <w:rsid w:val="00E55405"/>
    <w:rsid w:val="00E561F9"/>
    <w:rsid w:val="00E5645D"/>
    <w:rsid w:val="00E57CD3"/>
    <w:rsid w:val="00E627A4"/>
    <w:rsid w:val="00E6280E"/>
    <w:rsid w:val="00E62C9C"/>
    <w:rsid w:val="00E630EE"/>
    <w:rsid w:val="00E67A61"/>
    <w:rsid w:val="00E70455"/>
    <w:rsid w:val="00E73221"/>
    <w:rsid w:val="00E75116"/>
    <w:rsid w:val="00E763EB"/>
    <w:rsid w:val="00E8249B"/>
    <w:rsid w:val="00E8342F"/>
    <w:rsid w:val="00E84632"/>
    <w:rsid w:val="00E847EE"/>
    <w:rsid w:val="00E876F9"/>
    <w:rsid w:val="00E96A72"/>
    <w:rsid w:val="00E96B52"/>
    <w:rsid w:val="00EA01F7"/>
    <w:rsid w:val="00EA1D33"/>
    <w:rsid w:val="00EA1F5A"/>
    <w:rsid w:val="00EA375F"/>
    <w:rsid w:val="00EA55D2"/>
    <w:rsid w:val="00EA7104"/>
    <w:rsid w:val="00EA7533"/>
    <w:rsid w:val="00EB067F"/>
    <w:rsid w:val="00EB2419"/>
    <w:rsid w:val="00EB58F5"/>
    <w:rsid w:val="00EB6E6B"/>
    <w:rsid w:val="00EC010F"/>
    <w:rsid w:val="00EC2E3A"/>
    <w:rsid w:val="00EC3CCB"/>
    <w:rsid w:val="00EC5A74"/>
    <w:rsid w:val="00EC737D"/>
    <w:rsid w:val="00ED2154"/>
    <w:rsid w:val="00ED4277"/>
    <w:rsid w:val="00ED7C8C"/>
    <w:rsid w:val="00ED7DDB"/>
    <w:rsid w:val="00EE431B"/>
    <w:rsid w:val="00EE4874"/>
    <w:rsid w:val="00EE53E5"/>
    <w:rsid w:val="00EE6852"/>
    <w:rsid w:val="00EE73FB"/>
    <w:rsid w:val="00EE7BF0"/>
    <w:rsid w:val="00EF2674"/>
    <w:rsid w:val="00EF556F"/>
    <w:rsid w:val="00EF7D07"/>
    <w:rsid w:val="00F0181C"/>
    <w:rsid w:val="00F03512"/>
    <w:rsid w:val="00F0433A"/>
    <w:rsid w:val="00F0519B"/>
    <w:rsid w:val="00F059D4"/>
    <w:rsid w:val="00F11783"/>
    <w:rsid w:val="00F119AF"/>
    <w:rsid w:val="00F1480B"/>
    <w:rsid w:val="00F1498D"/>
    <w:rsid w:val="00F15173"/>
    <w:rsid w:val="00F20065"/>
    <w:rsid w:val="00F21B6D"/>
    <w:rsid w:val="00F22211"/>
    <w:rsid w:val="00F22341"/>
    <w:rsid w:val="00F24039"/>
    <w:rsid w:val="00F24E0E"/>
    <w:rsid w:val="00F26693"/>
    <w:rsid w:val="00F3477D"/>
    <w:rsid w:val="00F347FE"/>
    <w:rsid w:val="00F34859"/>
    <w:rsid w:val="00F356F7"/>
    <w:rsid w:val="00F40055"/>
    <w:rsid w:val="00F405D4"/>
    <w:rsid w:val="00F40868"/>
    <w:rsid w:val="00F421D5"/>
    <w:rsid w:val="00F44FDE"/>
    <w:rsid w:val="00F46467"/>
    <w:rsid w:val="00F46B63"/>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74742"/>
    <w:rsid w:val="00F804B9"/>
    <w:rsid w:val="00F80AE2"/>
    <w:rsid w:val="00F83FF9"/>
    <w:rsid w:val="00F84D52"/>
    <w:rsid w:val="00F91B52"/>
    <w:rsid w:val="00F961A9"/>
    <w:rsid w:val="00F97478"/>
    <w:rsid w:val="00F97B71"/>
    <w:rsid w:val="00F97B9E"/>
    <w:rsid w:val="00FA0527"/>
    <w:rsid w:val="00FA085E"/>
    <w:rsid w:val="00FA0947"/>
    <w:rsid w:val="00FA2185"/>
    <w:rsid w:val="00FA2D49"/>
    <w:rsid w:val="00FA4B52"/>
    <w:rsid w:val="00FA4D4F"/>
    <w:rsid w:val="00FA4D5B"/>
    <w:rsid w:val="00FA54E8"/>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7D41"/>
    <w:rsid w:val="00FE0072"/>
    <w:rsid w:val="00FE0C71"/>
    <w:rsid w:val="00FE0C8B"/>
    <w:rsid w:val="00FE1E47"/>
    <w:rsid w:val="00FE275D"/>
    <w:rsid w:val="00FE7FBD"/>
    <w:rsid w:val="00FF10BC"/>
    <w:rsid w:val="00FF5DCF"/>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72DF5A2-EBF3-499A-8563-FB1CA13DA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uiPriority w:val="99"/>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uiPriority w:val="99"/>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uiPriority w:val="99"/>
    <w:rsid w:val="00D66685"/>
    <w:rPr>
      <w:kern w:val="2"/>
      <w:sz w:val="24"/>
    </w:rPr>
  </w:style>
  <w:style w:type="character" w:styleId="af6">
    <w:name w:val="Strong"/>
    <w:basedOn w:val="a1"/>
    <w:uiPriority w:val="22"/>
    <w:qFormat/>
    <w:rsid w:val="00FE0C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6204035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042290413">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31105859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415663530">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049840325">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8D42A-1C6F-47E5-BDE2-A84348AB2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0</TotalTime>
  <Pages>5</Pages>
  <Words>1595</Words>
  <Characters>9093</Characters>
  <Application>Microsoft Office Word</Application>
  <DocSecurity>4</DocSecurity>
  <Lines>75</Lines>
  <Paragraphs>21</Paragraphs>
  <ScaleCrop>false</ScaleCrop>
  <Company>TRT. Ltd. Co.</Company>
  <LinksUpToDate>false</LinksUpToDate>
  <CharactersWithSpaces>10667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efunds</cp:lastModifiedBy>
  <cp:revision>2</cp:revision>
  <cp:lastPrinted>2007-07-19T00:46:00Z</cp:lastPrinted>
  <dcterms:created xsi:type="dcterms:W3CDTF">2020-01-13T02:41:00Z</dcterms:created>
  <dcterms:modified xsi:type="dcterms:W3CDTF">2020-01-13T02:41:00Z</dcterms:modified>
</cp:coreProperties>
</file>