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D3639B"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易方达上证中盘交易型开放式指数证券投资基金联接基金</w:t>
      </w:r>
    </w:p>
    <w:p w:rsidR="002D2A00"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2019</w:t>
      </w:r>
      <w:r w:rsidRPr="00D3639B">
        <w:rPr>
          <w:rFonts w:eastAsiaTheme="minorEastAsia"/>
          <w:b/>
          <w:color w:val="000000" w:themeColor="text1"/>
          <w:sz w:val="36"/>
          <w:szCs w:val="36"/>
        </w:rPr>
        <w:t>年第</w:t>
      </w:r>
      <w:r w:rsidRPr="00D3639B">
        <w:rPr>
          <w:rFonts w:eastAsiaTheme="minorEastAsia"/>
          <w:b/>
          <w:color w:val="000000" w:themeColor="text1"/>
          <w:sz w:val="36"/>
          <w:szCs w:val="36"/>
        </w:rPr>
        <w:t>4</w:t>
      </w:r>
      <w:r w:rsidRPr="00D3639B">
        <w:rPr>
          <w:rFonts w:eastAsiaTheme="minorEastAsia"/>
          <w:b/>
          <w:color w:val="000000" w:themeColor="text1"/>
          <w:sz w:val="36"/>
          <w:szCs w:val="36"/>
        </w:rPr>
        <w:t>季度报告</w:t>
      </w:r>
    </w:p>
    <w:p w:rsidR="009A2283" w:rsidRPr="00D3639B" w:rsidRDefault="00121533"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2019</w:t>
      </w:r>
      <w:r w:rsidRPr="00D3639B">
        <w:rPr>
          <w:rFonts w:eastAsiaTheme="minorEastAsia"/>
          <w:b/>
          <w:color w:val="000000" w:themeColor="text1"/>
          <w:sz w:val="36"/>
          <w:szCs w:val="36"/>
        </w:rPr>
        <w:t>年</w:t>
      </w:r>
      <w:r w:rsidRPr="00D3639B">
        <w:rPr>
          <w:rFonts w:eastAsiaTheme="minorEastAsia"/>
          <w:b/>
          <w:color w:val="000000" w:themeColor="text1"/>
          <w:sz w:val="36"/>
          <w:szCs w:val="36"/>
        </w:rPr>
        <w:t>12</w:t>
      </w:r>
      <w:r w:rsidRPr="00D3639B">
        <w:rPr>
          <w:rFonts w:eastAsiaTheme="minorEastAsia"/>
          <w:b/>
          <w:color w:val="000000" w:themeColor="text1"/>
          <w:sz w:val="36"/>
          <w:szCs w:val="36"/>
        </w:rPr>
        <w:t>月</w:t>
      </w:r>
      <w:r w:rsidRPr="00D3639B">
        <w:rPr>
          <w:rFonts w:eastAsiaTheme="minorEastAsia"/>
          <w:b/>
          <w:color w:val="000000" w:themeColor="text1"/>
          <w:sz w:val="36"/>
          <w:szCs w:val="36"/>
        </w:rPr>
        <w:t>31</w:t>
      </w:r>
      <w:r w:rsidRPr="00D3639B">
        <w:rPr>
          <w:rFonts w:eastAsiaTheme="minorEastAsia"/>
          <w:b/>
          <w:color w:val="000000" w:themeColor="text1"/>
          <w:sz w:val="36"/>
          <w:szCs w:val="36"/>
        </w:rPr>
        <w:t>日</w:t>
      </w: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E27360">
      <w:pPr>
        <w:spacing w:line="360" w:lineRule="auto"/>
        <w:jc w:val="center"/>
        <w:rPr>
          <w:rFonts w:eastAsiaTheme="minorEastAsia"/>
          <w:b/>
          <w:color w:val="000000" w:themeColor="text1"/>
          <w:szCs w:val="21"/>
        </w:rPr>
      </w:pPr>
    </w:p>
    <w:p w:rsidR="00E27360" w:rsidRPr="00D3639B" w:rsidRDefault="00E27360" w:rsidP="00E27360">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rPr>
          <w:rFonts w:eastAsiaTheme="minorEastAsia"/>
          <w:b/>
          <w:color w:val="000000" w:themeColor="text1"/>
          <w:szCs w:val="21"/>
        </w:rPr>
      </w:pP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基金管理人：</w:t>
      </w:r>
      <w:r w:rsidR="00BF377F" w:rsidRPr="00D3639B">
        <w:rPr>
          <w:rFonts w:eastAsiaTheme="minorEastAsia"/>
          <w:b/>
          <w:color w:val="000000" w:themeColor="text1"/>
          <w:sz w:val="24"/>
        </w:rPr>
        <w:t>易方达基金管理有限公司</w:t>
      </w: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基金托管人：</w:t>
      </w:r>
      <w:r w:rsidR="00BF377F" w:rsidRPr="00D3639B">
        <w:rPr>
          <w:rFonts w:eastAsiaTheme="minorEastAsia"/>
          <w:b/>
          <w:color w:val="000000" w:themeColor="text1"/>
          <w:sz w:val="24"/>
        </w:rPr>
        <w:t>中国工商银行股份有限公司</w:t>
      </w:r>
    </w:p>
    <w:p w:rsidR="009A2283" w:rsidRPr="00D3639B" w:rsidRDefault="009A2283" w:rsidP="004B54B8">
      <w:pPr>
        <w:spacing w:line="360" w:lineRule="auto"/>
        <w:ind w:firstLineChars="900" w:firstLine="2168"/>
        <w:rPr>
          <w:rFonts w:eastAsiaTheme="minorEastAsia"/>
          <w:color w:val="000000" w:themeColor="text1"/>
          <w:sz w:val="24"/>
        </w:rPr>
        <w:sectPr w:rsidR="009A2283" w:rsidRPr="00D3639B" w:rsidSect="00F7094A">
          <w:headerReference w:type="default" r:id="rId8"/>
          <w:footerReference w:type="default" r:id="rId9"/>
          <w:pgSz w:w="11926" w:h="15840"/>
          <w:pgMar w:top="1418" w:right="1418" w:bottom="851" w:left="1418" w:header="851" w:footer="992" w:gutter="0"/>
          <w:cols w:space="720"/>
          <w:noEndnote/>
        </w:sectPr>
      </w:pPr>
      <w:r w:rsidRPr="00D3639B">
        <w:rPr>
          <w:rFonts w:eastAsiaTheme="minorEastAsia"/>
          <w:b/>
          <w:color w:val="000000" w:themeColor="text1"/>
          <w:sz w:val="24"/>
        </w:rPr>
        <w:t>报告送出日期：</w:t>
      </w:r>
      <w:r w:rsidR="00D04410" w:rsidRPr="00D3639B">
        <w:rPr>
          <w:rFonts w:eastAsiaTheme="minorEastAsia"/>
          <w:b/>
          <w:color w:val="000000" w:themeColor="text1"/>
          <w:sz w:val="24"/>
        </w:rPr>
        <w:t>二〇二〇年一月十八日</w:t>
      </w:r>
    </w:p>
    <w:p w:rsidR="009238DB" w:rsidRPr="00B34368" w:rsidRDefault="009238DB" w:rsidP="00C544B8">
      <w:pPr>
        <w:pStyle w:val="1"/>
        <w:spacing w:beforeLines="100" w:before="312" w:afterLines="100" w:after="312" w:line="360" w:lineRule="auto"/>
        <w:jc w:val="center"/>
        <w:rPr>
          <w:rFonts w:eastAsiaTheme="minorEastAsia"/>
          <w:b w:val="0"/>
          <w:color w:val="000000" w:themeColor="text1"/>
          <w:kern w:val="0"/>
          <w:sz w:val="24"/>
          <w:szCs w:val="24"/>
        </w:rPr>
      </w:pPr>
      <w:r w:rsidRPr="00B34368">
        <w:rPr>
          <w:rFonts w:eastAsiaTheme="minorEastAsia"/>
          <w:color w:val="000000" w:themeColor="text1"/>
          <w:kern w:val="0"/>
          <w:sz w:val="24"/>
          <w:szCs w:val="24"/>
        </w:rPr>
        <w:lastRenderedPageBreak/>
        <w:t xml:space="preserve">§1  </w:t>
      </w:r>
      <w:r w:rsidRPr="00B34368">
        <w:rPr>
          <w:rFonts w:eastAsiaTheme="minorEastAsia" w:hAnsiTheme="minorEastAsia"/>
          <w:color w:val="000000" w:themeColor="text1"/>
          <w:kern w:val="0"/>
          <w:sz w:val="24"/>
          <w:szCs w:val="24"/>
        </w:rPr>
        <w:t>重要提示</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16</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基金</w:t>
      </w:r>
      <w:r>
        <w:rPr>
          <w:rFonts w:eastAsiaTheme="minorEastAsia"/>
          <w:color w:val="000000" w:themeColor="text1"/>
          <w:sz w:val="24"/>
        </w:rPr>
        <w:t>的过往业绩并不代表其未来表现。投资有风险，投资者在作出投资决策前应仔细阅读本基金的招募说明书。</w:t>
      </w:r>
      <w:r>
        <w:rPr>
          <w:rFonts w:eastAsiaTheme="minorEastAsia"/>
          <w:color w:val="000000" w:themeColor="text1"/>
          <w:sz w:val="24"/>
        </w:rPr>
        <w:t xml:space="preserve"> </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8DB" w:rsidRPr="00B34368" w:rsidRDefault="00267DA9"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本报告期自</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10</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日起至</w:t>
      </w:r>
      <w:r w:rsidRPr="00B34368">
        <w:rPr>
          <w:rFonts w:eastAsiaTheme="minorEastAsia"/>
          <w:color w:val="000000" w:themeColor="text1"/>
          <w:sz w:val="24"/>
        </w:rPr>
        <w:t>12</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日止。</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§2  </w:t>
      </w:r>
      <w:r w:rsidRPr="00B34368">
        <w:rPr>
          <w:rFonts w:eastAsiaTheme="minorEastAsia" w:hAnsiTheme="minorEastAsia"/>
          <w:color w:val="000000" w:themeColor="text1"/>
          <w:kern w:val="0"/>
          <w:sz w:val="24"/>
          <w:szCs w:val="24"/>
        </w:rPr>
        <w:t>基金产品概况</w:t>
      </w:r>
    </w:p>
    <w:p w:rsidR="002C32ED" w:rsidRPr="00B34368" w:rsidRDefault="002C32ED" w:rsidP="002C32ED">
      <w:pPr>
        <w:pStyle w:val="2"/>
        <w:keepNext w:val="0"/>
        <w:keepLines w:val="0"/>
        <w:spacing w:before="0" w:after="0"/>
        <w:rPr>
          <w:rFonts w:ascii="Times New Roman" w:eastAsiaTheme="minorEastAsia" w:hAnsi="Times New Roman" w:cs="Times New Roman"/>
          <w:color w:val="000000" w:themeColor="text1"/>
          <w:szCs w:val="24"/>
        </w:rPr>
      </w:pPr>
      <w:bookmarkStart w:id="1" w:name="_Toc245193810"/>
      <w:r w:rsidRPr="00B34368">
        <w:rPr>
          <w:rFonts w:ascii="Times New Roman" w:eastAsiaTheme="minorEastAsia" w:hAnsi="Times New Roman" w:cs="Times New Roman"/>
          <w:color w:val="000000" w:themeColor="text1"/>
          <w:szCs w:val="24"/>
        </w:rPr>
        <w:t>2.1</w:t>
      </w:r>
      <w:r w:rsidRPr="00B34368">
        <w:rPr>
          <w:rFonts w:ascii="Times New Roman" w:eastAsiaTheme="minorEastAsia" w:hAnsiTheme="minorEastAsia" w:cs="Times New Roman"/>
          <w:color w:val="000000" w:themeColor="text1"/>
          <w:szCs w:val="24"/>
        </w:rPr>
        <w:t>基金产品概况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基金简称</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易方达上证中盘</w:t>
            </w:r>
            <w:r w:rsidRPr="00B34368">
              <w:rPr>
                <w:rFonts w:eastAsiaTheme="minorEastAsia"/>
                <w:color w:val="000000" w:themeColor="text1"/>
                <w:kern w:val="0"/>
                <w:sz w:val="24"/>
              </w:rPr>
              <w:t>ETF</w:t>
            </w:r>
            <w:r w:rsidRPr="00B34368">
              <w:rPr>
                <w:rFonts w:eastAsiaTheme="minorEastAsia"/>
                <w:color w:val="000000" w:themeColor="text1"/>
                <w:kern w:val="0"/>
                <w:sz w:val="24"/>
              </w:rPr>
              <w:t>联接</w:t>
            </w:r>
          </w:p>
        </w:tc>
      </w:tr>
      <w:tr w:rsidR="00D3639B" w:rsidRPr="00B34368" w:rsidTr="00AA7EBD">
        <w:tc>
          <w:tcPr>
            <w:tcW w:w="2835" w:type="dxa"/>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479" w:type="dxa"/>
            <w:gridSpan w:val="2"/>
            <w:tcBorders>
              <w:bottom w:val="single" w:sz="4" w:space="0" w:color="auto"/>
            </w:tcBorders>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110021</w:t>
            </w:r>
          </w:p>
        </w:tc>
      </w:tr>
      <w:tr w:rsidR="00D3639B" w:rsidRPr="00B34368" w:rsidTr="00AA7EBD">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基金运作方式</w:t>
            </w:r>
          </w:p>
        </w:tc>
        <w:tc>
          <w:tcPr>
            <w:tcW w:w="5479" w:type="dxa"/>
            <w:gridSpan w:val="2"/>
            <w:tcBorders>
              <w:top w:val="single" w:sz="4" w:space="0" w:color="auto"/>
            </w:tcBorders>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契约型开放式</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基金合同生效日</w:t>
            </w:r>
          </w:p>
        </w:tc>
        <w:tc>
          <w:tcPr>
            <w:tcW w:w="5479" w:type="dxa"/>
            <w:gridSpan w:val="2"/>
          </w:tcPr>
          <w:p w:rsidR="00A6200E" w:rsidRPr="00B34368" w:rsidRDefault="00121533" w:rsidP="00121533">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2010</w:t>
            </w:r>
            <w:r w:rsidRPr="00B34368">
              <w:rPr>
                <w:rFonts w:eastAsiaTheme="minorEastAsia"/>
                <w:color w:val="000000" w:themeColor="text1"/>
                <w:kern w:val="0"/>
                <w:sz w:val="24"/>
              </w:rPr>
              <w:t>年</w:t>
            </w:r>
            <w:r w:rsidRPr="00B34368">
              <w:rPr>
                <w:rFonts w:eastAsiaTheme="minorEastAsia"/>
                <w:color w:val="000000" w:themeColor="text1"/>
                <w:kern w:val="0"/>
                <w:sz w:val="24"/>
              </w:rPr>
              <w:t>3</w:t>
            </w:r>
            <w:r w:rsidRPr="00B34368">
              <w:rPr>
                <w:rFonts w:eastAsiaTheme="minorEastAsia"/>
                <w:color w:val="000000" w:themeColor="text1"/>
                <w:kern w:val="0"/>
                <w:sz w:val="24"/>
              </w:rPr>
              <w:t>月</w:t>
            </w:r>
            <w:r w:rsidRPr="00B34368">
              <w:rPr>
                <w:rFonts w:eastAsiaTheme="minorEastAsia"/>
                <w:color w:val="000000" w:themeColor="text1"/>
                <w:kern w:val="0"/>
                <w:sz w:val="24"/>
              </w:rPr>
              <w:t>31</w:t>
            </w:r>
            <w:r w:rsidRPr="00B34368">
              <w:rPr>
                <w:rFonts w:eastAsiaTheme="minorEastAsia"/>
                <w:color w:val="000000" w:themeColor="text1"/>
                <w:kern w:val="0"/>
                <w:sz w:val="24"/>
              </w:rPr>
              <w:t>日</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报告期末基金份额总额</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148,264,376.77</w:t>
            </w:r>
            <w:r w:rsidR="0060758A" w:rsidRPr="00B34368">
              <w:rPr>
                <w:rFonts w:eastAsiaTheme="minorEastAsia" w:hAnsiTheme="minorEastAsia"/>
                <w:color w:val="000000" w:themeColor="text1"/>
                <w:kern w:val="0"/>
                <w:sz w:val="24"/>
              </w:rPr>
              <w:t>份</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投资目标</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紧密跟踪业绩比较基准，追求跟踪偏离度及跟踪误差的最小化。力争将日均跟踪偏离度控制在</w:t>
            </w:r>
            <w:r w:rsidRPr="00B34368">
              <w:rPr>
                <w:rFonts w:eastAsiaTheme="minorEastAsia"/>
                <w:color w:val="000000" w:themeColor="text1"/>
                <w:kern w:val="0"/>
                <w:sz w:val="24"/>
              </w:rPr>
              <w:t>0.35%</w:t>
            </w:r>
            <w:r w:rsidRPr="00B34368">
              <w:rPr>
                <w:rFonts w:eastAsiaTheme="minorEastAsia"/>
                <w:color w:val="000000" w:themeColor="text1"/>
                <w:kern w:val="0"/>
                <w:sz w:val="24"/>
              </w:rPr>
              <w:t>以内，年化跟踪误差控制在</w:t>
            </w:r>
            <w:r w:rsidRPr="00B34368">
              <w:rPr>
                <w:rFonts w:eastAsiaTheme="minorEastAsia"/>
                <w:color w:val="000000" w:themeColor="text1"/>
                <w:kern w:val="0"/>
                <w:sz w:val="24"/>
              </w:rPr>
              <w:t>4%</w:t>
            </w:r>
            <w:r w:rsidRPr="00B34368">
              <w:rPr>
                <w:rFonts w:eastAsiaTheme="minorEastAsia"/>
                <w:color w:val="000000" w:themeColor="text1"/>
                <w:kern w:val="0"/>
                <w:sz w:val="24"/>
              </w:rPr>
              <w:t>以内。</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投资策略</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本基金为上证中盘</w:t>
            </w:r>
            <w:r w:rsidRPr="00B34368">
              <w:rPr>
                <w:rFonts w:eastAsiaTheme="minorEastAsia"/>
                <w:color w:val="000000" w:themeColor="text1"/>
                <w:kern w:val="0"/>
                <w:sz w:val="24"/>
              </w:rPr>
              <w:t>ETF</w:t>
            </w:r>
            <w:r w:rsidRPr="00B34368">
              <w:rPr>
                <w:rFonts w:eastAsiaTheme="minorEastAsia"/>
                <w:color w:val="000000" w:themeColor="text1"/>
                <w:kern w:val="0"/>
                <w:sz w:val="24"/>
              </w:rPr>
              <w:t>的联接基金。上证中盘</w:t>
            </w:r>
            <w:r w:rsidRPr="00B34368">
              <w:rPr>
                <w:rFonts w:eastAsiaTheme="minorEastAsia"/>
                <w:color w:val="000000" w:themeColor="text1"/>
                <w:kern w:val="0"/>
                <w:sz w:val="24"/>
              </w:rPr>
              <w:t>ETF</w:t>
            </w:r>
            <w:r w:rsidRPr="00B34368">
              <w:rPr>
                <w:rFonts w:eastAsiaTheme="minorEastAsia"/>
                <w:color w:val="000000" w:themeColor="text1"/>
                <w:kern w:val="0"/>
                <w:sz w:val="24"/>
              </w:rPr>
              <w:t>是采用完全复制法实现对上证中盘指数紧密跟踪的全被动指数基金，本基金主要通过投资于上证中盘</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实现对业绩比较基准的紧密跟踪，力争将</w:t>
            </w:r>
            <w:r w:rsidRPr="00B34368">
              <w:rPr>
                <w:rFonts w:eastAsiaTheme="minorEastAsia"/>
                <w:color w:val="000000" w:themeColor="text1"/>
                <w:kern w:val="0"/>
                <w:sz w:val="24"/>
              </w:rPr>
              <w:lastRenderedPageBreak/>
              <w:t>日均跟踪偏离度控制在</w:t>
            </w:r>
            <w:r w:rsidRPr="00B34368">
              <w:rPr>
                <w:rFonts w:eastAsiaTheme="minorEastAsia"/>
                <w:color w:val="000000" w:themeColor="text1"/>
                <w:kern w:val="0"/>
                <w:sz w:val="24"/>
              </w:rPr>
              <w:t>0.35%</w:t>
            </w:r>
            <w:r w:rsidRPr="00B34368">
              <w:rPr>
                <w:rFonts w:eastAsiaTheme="minorEastAsia"/>
                <w:color w:val="000000" w:themeColor="text1"/>
                <w:kern w:val="0"/>
                <w:sz w:val="24"/>
              </w:rPr>
              <w:t>以内，年化跟踪误差控制在</w:t>
            </w:r>
            <w:r w:rsidRPr="00B34368">
              <w:rPr>
                <w:rFonts w:eastAsiaTheme="minorEastAsia"/>
                <w:color w:val="000000" w:themeColor="text1"/>
                <w:kern w:val="0"/>
                <w:sz w:val="24"/>
              </w:rPr>
              <w:t>4%</w:t>
            </w:r>
            <w:r w:rsidRPr="00B34368">
              <w:rPr>
                <w:rFonts w:eastAsiaTheme="minorEastAsia"/>
                <w:color w:val="000000" w:themeColor="text1"/>
                <w:kern w:val="0"/>
                <w:sz w:val="24"/>
              </w:rPr>
              <w:t>以内。在投资运作过程中，本基金将在综合考虑合规、风险、效率、成本等因素的基础上，决定采用实物申赎的方式或证券二级市场交易的方式进行上证中盘</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的买卖。待指数衍生金融产品推出以后，基金管理人在履行适当程序后，本基金可以适度运用衍生金融产品进一步降低跟踪误差。</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lastRenderedPageBreak/>
              <w:t>业绩比较基准</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上证中盘指数收益率</w:t>
            </w:r>
            <w:r w:rsidRPr="00B34368">
              <w:rPr>
                <w:rFonts w:eastAsiaTheme="minorEastAsia"/>
                <w:color w:val="000000" w:themeColor="text1"/>
                <w:kern w:val="0"/>
                <w:sz w:val="24"/>
              </w:rPr>
              <w:t>X95%+</w:t>
            </w:r>
            <w:r w:rsidRPr="00B34368">
              <w:rPr>
                <w:rFonts w:eastAsiaTheme="minorEastAsia"/>
                <w:color w:val="000000" w:themeColor="text1"/>
                <w:kern w:val="0"/>
                <w:sz w:val="24"/>
              </w:rPr>
              <w:t>活期存款利率</w:t>
            </w:r>
            <w:r w:rsidRPr="00B34368">
              <w:rPr>
                <w:rFonts w:eastAsiaTheme="minorEastAsia"/>
                <w:color w:val="000000" w:themeColor="text1"/>
                <w:kern w:val="0"/>
                <w:sz w:val="24"/>
              </w:rPr>
              <w:t>(</w:t>
            </w:r>
            <w:r w:rsidRPr="00B34368">
              <w:rPr>
                <w:rFonts w:eastAsiaTheme="minorEastAsia"/>
                <w:color w:val="000000" w:themeColor="text1"/>
                <w:kern w:val="0"/>
                <w:sz w:val="24"/>
              </w:rPr>
              <w:t>税后</w:t>
            </w:r>
            <w:r w:rsidRPr="00B34368">
              <w:rPr>
                <w:rFonts w:eastAsiaTheme="minorEastAsia"/>
                <w:color w:val="000000" w:themeColor="text1"/>
                <w:kern w:val="0"/>
                <w:sz w:val="24"/>
              </w:rPr>
              <w:t>)X5%</w:t>
            </w:r>
          </w:p>
        </w:tc>
      </w:tr>
      <w:tr w:rsidR="00D3639B" w:rsidRPr="00B34368" w:rsidTr="009A045B">
        <w:tc>
          <w:tcPr>
            <w:tcW w:w="2835" w:type="dxa"/>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风险收益特征</w:t>
            </w:r>
          </w:p>
        </w:tc>
        <w:tc>
          <w:tcPr>
            <w:tcW w:w="5479" w:type="dxa"/>
            <w:gridSpan w:val="2"/>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本基金为上证中盘</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的联接基金，其预期风险收益水平高于混合型基金、债券基金和货币市场基金。本基金主要通过投资于上证中盘</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追踪业绩比较基准，具有与业绩比较基准相似的风险收益特征。</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基金管理人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易方达基金管理有限公司</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基金托管人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中国工商银行股份有限公司</w:t>
            </w:r>
          </w:p>
        </w:tc>
      </w:tr>
      <w:tr w:rsidR="00D3639B" w:rsidRPr="00B34368" w:rsidTr="00950413">
        <w:tc>
          <w:tcPr>
            <w:tcW w:w="2835" w:type="dxa"/>
          </w:tcPr>
          <w:p w:rsidR="00950413" w:rsidRPr="00B34368" w:rsidRDefault="00075E4E" w:rsidP="00E205AA">
            <w:pPr>
              <w:adjustRightInd w:val="0"/>
              <w:spacing w:before="29" w:line="360" w:lineRule="auto"/>
              <w:ind w:left="17"/>
              <w:jc w:val="left"/>
              <w:rPr>
                <w:rFonts w:eastAsiaTheme="minorEastAsia"/>
                <w:color w:val="000000" w:themeColor="text1"/>
                <w:kern w:val="0"/>
                <w:sz w:val="24"/>
              </w:rPr>
            </w:pPr>
            <w:r>
              <w:rPr>
                <w:rFonts w:eastAsiaTheme="minorEastAsia" w:hAnsiTheme="minorEastAsia"/>
                <w:color w:val="000000" w:themeColor="text1"/>
                <w:sz w:val="24"/>
              </w:rPr>
              <w:t>下属</w:t>
            </w:r>
            <w:r>
              <w:rPr>
                <w:rFonts w:eastAsiaTheme="minorEastAsia" w:hAnsiTheme="minorEastAsia" w:hint="eastAsia"/>
                <w:color w:val="000000" w:themeColor="text1"/>
                <w:sz w:val="24"/>
              </w:rPr>
              <w:t>分</w:t>
            </w:r>
            <w:r w:rsidR="00950413" w:rsidRPr="00B34368">
              <w:rPr>
                <w:rFonts w:eastAsiaTheme="minorEastAsia" w:hAnsiTheme="minorEastAsia"/>
                <w:color w:val="000000" w:themeColor="text1"/>
                <w:sz w:val="24"/>
              </w:rPr>
              <w:t>级基金的基金简称</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740"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级基金的交易代码</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110021</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004743</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报告期末下属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级基金的份额总额</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145,333,472.39</w:t>
            </w:r>
            <w:r w:rsidR="00D305C9" w:rsidRPr="00B34368">
              <w:rPr>
                <w:rFonts w:eastAsiaTheme="minorEastAsia" w:hAnsiTheme="minorEastAsia"/>
                <w:color w:val="000000" w:themeColor="text1"/>
                <w:kern w:val="0"/>
                <w:sz w:val="24"/>
              </w:rPr>
              <w:t>份</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2,930,904.38</w:t>
            </w:r>
            <w:r w:rsidR="00D305C9" w:rsidRPr="00B34368">
              <w:rPr>
                <w:rFonts w:eastAsiaTheme="minorEastAsia" w:hAnsiTheme="minorEastAsia"/>
                <w:color w:val="000000" w:themeColor="text1"/>
                <w:kern w:val="0"/>
                <w:sz w:val="24"/>
              </w:rPr>
              <w:t>份</w:t>
            </w:r>
          </w:p>
        </w:tc>
      </w:tr>
    </w:tbl>
    <w:p w:rsidR="002C32ED" w:rsidRPr="00B34368" w:rsidRDefault="00A6200E"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注：自</w:t>
      </w: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w:t>
      </w:r>
      <w:r w:rsidRPr="00B34368">
        <w:rPr>
          <w:rFonts w:eastAsiaTheme="minorEastAsia"/>
          <w:color w:val="000000" w:themeColor="text1"/>
          <w:sz w:val="24"/>
        </w:rPr>
        <w:t>日起，本基金增设</w:t>
      </w:r>
      <w:r w:rsidRPr="00B34368">
        <w:rPr>
          <w:rFonts w:eastAsiaTheme="minorEastAsia"/>
          <w:color w:val="000000" w:themeColor="text1"/>
          <w:sz w:val="24"/>
        </w:rPr>
        <w:t>C</w:t>
      </w:r>
      <w:r w:rsidRPr="00B34368">
        <w:rPr>
          <w:rFonts w:eastAsiaTheme="minorEastAsia"/>
          <w:color w:val="000000" w:themeColor="text1"/>
          <w:sz w:val="24"/>
        </w:rPr>
        <w:t>类份额类别，份额首次确认日为</w:t>
      </w: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5</w:t>
      </w:r>
      <w:r w:rsidRPr="00B34368">
        <w:rPr>
          <w:rFonts w:eastAsiaTheme="minorEastAsia"/>
          <w:color w:val="000000" w:themeColor="text1"/>
          <w:sz w:val="24"/>
        </w:rPr>
        <w:t>日。</w:t>
      </w:r>
    </w:p>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2.1.1</w:t>
      </w:r>
      <w:r w:rsidRPr="00B34368">
        <w:rPr>
          <w:rFonts w:ascii="Times New Roman" w:eastAsiaTheme="minorEastAsia" w:hAnsiTheme="minorEastAsia" w:cs="Times New Roman"/>
          <w:color w:val="000000" w:themeColor="text1"/>
          <w:szCs w:val="24"/>
        </w:rPr>
        <w:t>目标基金基本情况</w:t>
      </w:r>
    </w:p>
    <w:tbl>
      <w:tblPr>
        <w:tblW w:w="8460" w:type="dxa"/>
        <w:tblInd w:w="108" w:type="dxa"/>
        <w:tblLayout w:type="fixed"/>
        <w:tblLook w:val="0000" w:firstRow="0" w:lastRow="0" w:firstColumn="0" w:lastColumn="0" w:noHBand="0" w:noVBand="0"/>
      </w:tblPr>
      <w:tblGrid>
        <w:gridCol w:w="2724"/>
        <w:gridCol w:w="5736"/>
      </w:tblGrid>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易方达上证中盘交易型开放式指数证券投资基金</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510130</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交易型开放式（</w:t>
            </w:r>
            <w:r w:rsidRPr="00B34368">
              <w:rPr>
                <w:rFonts w:eastAsiaTheme="minorEastAsia"/>
                <w:color w:val="000000" w:themeColor="text1"/>
                <w:sz w:val="24"/>
              </w:rPr>
              <w:t>ETF</w:t>
            </w:r>
            <w:r w:rsidRPr="00B34368">
              <w:rPr>
                <w:rFonts w:eastAsiaTheme="minorEastAsia"/>
                <w:color w:val="000000" w:themeColor="text1"/>
                <w:sz w:val="24"/>
              </w:rPr>
              <w:t>）</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2010</w:t>
            </w:r>
            <w:r w:rsidRPr="00B34368">
              <w:rPr>
                <w:rFonts w:eastAsiaTheme="minorEastAsia"/>
                <w:color w:val="000000" w:themeColor="text1"/>
                <w:sz w:val="24"/>
              </w:rPr>
              <w:t>年</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29</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上海证券交易所</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2010</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23</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易方达基金管理有限公司</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中国工商银行股份有限公司</w:t>
            </w:r>
          </w:p>
        </w:tc>
      </w:tr>
    </w:tbl>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2.1.2</w:t>
      </w:r>
      <w:r w:rsidRPr="00B34368">
        <w:rPr>
          <w:rFonts w:ascii="Times New Roman" w:eastAsiaTheme="minorEastAsia" w:hAnsiTheme="minorEastAsia" w:cs="Times New Roman"/>
          <w:color w:val="000000" w:themeColor="text1"/>
          <w:szCs w:val="24"/>
        </w:rPr>
        <w:t>目标基金产品说明</w:t>
      </w:r>
    </w:p>
    <w:tbl>
      <w:tblPr>
        <w:tblW w:w="8460" w:type="dxa"/>
        <w:tblInd w:w="108" w:type="dxa"/>
        <w:tblLook w:val="0000" w:firstRow="0" w:lastRow="0" w:firstColumn="0" w:lastColumn="0" w:noHBand="0" w:noVBand="0"/>
      </w:tblPr>
      <w:tblGrid>
        <w:gridCol w:w="2820"/>
        <w:gridCol w:w="5640"/>
      </w:tblGrid>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紧密跟踪标的指数，追求跟踪偏离度及跟踪误差的最小化。</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采取完全复制法进行投资，即按照上证中盘指数的成份股组成及权重构建股票投资组合。但是当指数编制方法变更、成份股发生变更、成份股权重由于自由流通量发生变化、成份股派发现金股息、配股及增发、股票长期停牌、市场流动性不足等情况发生，基金管理人无法按照指数构成及权重进行同步调整时，基金管理人将对投资组合进行优化，尽量降低跟踪误差。</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上证中盘指数</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本基金属股票型基金，预期风险与收益水平高于混合基金、债券基金与货币市场基金。本基金为指数型基金，采用完全复制法跟踪标的指数的表现，具有与标的指数相似的风险收益特征。</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§3  </w:t>
      </w:r>
      <w:r w:rsidRPr="00B34368">
        <w:rPr>
          <w:rFonts w:eastAsiaTheme="minorEastAsia" w:hAnsiTheme="minorEastAsia"/>
          <w:color w:val="000000" w:themeColor="text1"/>
          <w:kern w:val="0"/>
          <w:sz w:val="24"/>
          <w:szCs w:val="24"/>
        </w:rPr>
        <w:t>主要财务指标和基金净值表现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3.1 </w:t>
      </w:r>
      <w:r w:rsidRPr="00B34368">
        <w:rPr>
          <w:rFonts w:eastAsiaTheme="minorEastAsia" w:hAnsiTheme="minorEastAsia"/>
          <w:b/>
          <w:color w:val="000000" w:themeColor="text1"/>
          <w:kern w:val="0"/>
          <w:sz w:val="24"/>
        </w:rPr>
        <w:t>主要财务指标</w:t>
      </w:r>
    </w:p>
    <w:p w:rsidR="009238DB" w:rsidRPr="00B34368" w:rsidRDefault="009238DB" w:rsidP="00E27360">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D3639B" w:rsidRPr="00B34368" w:rsidTr="008B5312">
        <w:tc>
          <w:tcPr>
            <w:tcW w:w="3402" w:type="dxa"/>
            <w:vMerge w:val="restart"/>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主要财务指标</w:t>
            </w:r>
          </w:p>
        </w:tc>
        <w:tc>
          <w:tcPr>
            <w:tcW w:w="4962" w:type="dxa"/>
            <w:gridSpan w:val="2"/>
            <w:vAlign w:val="center"/>
          </w:tcPr>
          <w:p w:rsidR="002976E5"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报告期</w:t>
            </w:r>
          </w:p>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10</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12</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w:t>
            </w:r>
            <w:r w:rsidRPr="00B34368">
              <w:rPr>
                <w:rFonts w:eastAsiaTheme="minorEastAsia"/>
                <w:color w:val="000000" w:themeColor="text1"/>
                <w:sz w:val="24"/>
              </w:rPr>
              <w:t>)</w:t>
            </w:r>
          </w:p>
        </w:tc>
      </w:tr>
      <w:tr w:rsidR="00D3639B" w:rsidRPr="00B34368" w:rsidTr="008B5312">
        <w:tc>
          <w:tcPr>
            <w:tcW w:w="3402" w:type="dxa"/>
            <w:vMerge/>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p>
        </w:tc>
        <w:tc>
          <w:tcPr>
            <w:tcW w:w="2481" w:type="dxa"/>
            <w:vAlign w:val="center"/>
          </w:tcPr>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481" w:type="dxa"/>
            <w:vAlign w:val="center"/>
          </w:tcPr>
          <w:p w:rsidR="009E549D" w:rsidRPr="00B34368" w:rsidRDefault="00FE7FB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73B57">
        <w:tc>
          <w:tcPr>
            <w:tcW w:w="3402" w:type="dxa"/>
          </w:tcPr>
          <w:p w:rsidR="005F293E" w:rsidRPr="00B34368" w:rsidRDefault="005F293E" w:rsidP="00973B57">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1.</w:t>
            </w:r>
            <w:r w:rsidRPr="00B34368">
              <w:rPr>
                <w:rFonts w:eastAsiaTheme="minorEastAsia" w:hAnsiTheme="minorEastAsia"/>
                <w:color w:val="000000" w:themeColor="text1"/>
                <w:kern w:val="0"/>
                <w:sz w:val="24"/>
              </w:rPr>
              <w:t>本期已实现收益</w:t>
            </w:r>
          </w:p>
        </w:tc>
        <w:tc>
          <w:tcPr>
            <w:tcW w:w="2481" w:type="dxa"/>
            <w:vAlign w:val="bottom"/>
          </w:tcPr>
          <w:p w:rsidR="005F293E" w:rsidRPr="00B34368" w:rsidRDefault="005F293E" w:rsidP="00973B57">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2,889,026.74</w:t>
            </w:r>
          </w:p>
        </w:tc>
        <w:tc>
          <w:tcPr>
            <w:tcW w:w="2481" w:type="dxa"/>
            <w:vAlign w:val="bottom"/>
          </w:tcPr>
          <w:p w:rsidR="005F293E" w:rsidRPr="00B34368" w:rsidRDefault="00FE7FBD" w:rsidP="0037768B">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76,026.17</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2.</w:t>
            </w:r>
            <w:r w:rsidRPr="00B34368">
              <w:rPr>
                <w:rFonts w:eastAsiaTheme="minorEastAsia" w:hAnsiTheme="minorEastAsia"/>
                <w:color w:val="000000" w:themeColor="text1"/>
                <w:kern w:val="0"/>
                <w:sz w:val="24"/>
              </w:rPr>
              <w:t>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11,256,329.50</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325,599.62</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3.</w:t>
            </w:r>
            <w:r w:rsidRPr="00B34368">
              <w:rPr>
                <w:rFonts w:eastAsiaTheme="minorEastAsia" w:hAnsiTheme="minorEastAsia"/>
                <w:color w:val="000000" w:themeColor="text1"/>
                <w:kern w:val="0"/>
                <w:sz w:val="24"/>
              </w:rPr>
              <w:t>加权平均基金份额本期利润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0.0750</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0.0761</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4.</w:t>
            </w:r>
            <w:r w:rsidRPr="00B34368">
              <w:rPr>
                <w:rFonts w:eastAsiaTheme="minorEastAsia" w:hAnsiTheme="minorEastAsia"/>
                <w:color w:val="000000" w:themeColor="text1"/>
                <w:kern w:val="0"/>
                <w:sz w:val="24"/>
              </w:rPr>
              <w:t>期末基金资产净值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202,271,937.87</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4,184,416.61</w:t>
            </w:r>
          </w:p>
        </w:tc>
      </w:tr>
      <w:tr w:rsidR="00D3639B" w:rsidRPr="00B34368" w:rsidTr="009A5C1D">
        <w:trPr>
          <w:trHeight w:val="158"/>
        </w:trPr>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5.</w:t>
            </w:r>
            <w:r w:rsidRPr="00B34368">
              <w:rPr>
                <w:rFonts w:eastAsiaTheme="minorEastAsia" w:hAnsiTheme="minorEastAsia"/>
                <w:color w:val="000000" w:themeColor="text1"/>
                <w:kern w:val="0"/>
                <w:sz w:val="24"/>
              </w:rPr>
              <w:t>期末基金份额净值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1.3918</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1.4277</w:t>
            </w:r>
          </w:p>
        </w:tc>
      </w:tr>
    </w:tbl>
    <w:p w:rsidR="008C514E" w:rsidRDefault="0081619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所述基金业绩指标不包括持有人认购或交易基金的各项费用，计入费用后实际收益水平要低于所列数字。</w:t>
      </w:r>
    </w:p>
    <w:p w:rsidR="009238DB" w:rsidRPr="00B34368" w:rsidRDefault="005E01A3"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3.2 </w:t>
      </w:r>
      <w:r w:rsidRPr="00B34368">
        <w:rPr>
          <w:rFonts w:eastAsiaTheme="minorEastAsia" w:hAnsiTheme="minorEastAsia"/>
          <w:b/>
          <w:color w:val="000000" w:themeColor="text1"/>
          <w:kern w:val="0"/>
          <w:sz w:val="24"/>
        </w:rPr>
        <w:t>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3.2.1</w:t>
      </w:r>
      <w:r w:rsidRPr="00B34368">
        <w:rPr>
          <w:rFonts w:eastAsiaTheme="minorEastAsia" w:hAnsiTheme="minorEastAsia"/>
          <w:b/>
          <w:color w:val="000000" w:themeColor="text1"/>
          <w:kern w:val="0"/>
          <w:sz w:val="24"/>
        </w:rPr>
        <w:t>本报告期基金份额净值增长率及其与同期业绩比较基准收益率的比较</w:t>
      </w:r>
    </w:p>
    <w:p w:rsidR="009238DB" w:rsidRPr="00B34368" w:rsidRDefault="00A5643A" w:rsidP="00FC13C8">
      <w:pPr>
        <w:spacing w:line="360" w:lineRule="auto"/>
        <w:rPr>
          <w:rFonts w:eastAsiaTheme="minorEastAsia"/>
          <w:b/>
          <w:color w:val="000000" w:themeColor="text1"/>
          <w:sz w:val="24"/>
        </w:rPr>
      </w:pPr>
      <w:r w:rsidRPr="00B34368">
        <w:rPr>
          <w:rFonts w:eastAsiaTheme="minorEastAsia"/>
          <w:b/>
          <w:color w:val="000000" w:themeColor="text1"/>
          <w:kern w:val="0"/>
          <w:sz w:val="24"/>
        </w:rPr>
        <w:t>易方达上证中盘</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A</w:t>
      </w:r>
      <w:r w:rsidR="009238DB" w:rsidRPr="00B34368">
        <w:rPr>
          <w:rFonts w:eastAsiaTheme="minorEastAsia" w:hAnsiTheme="minorEastAsia"/>
          <w:b/>
          <w:color w:val="000000" w:themeColor="text1"/>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8C514E">
        <w:tc>
          <w:tcPr>
            <w:tcW w:w="0" w:type="auto"/>
            <w:vAlign w:val="center"/>
          </w:tcPr>
          <w:p w:rsidR="008C514E" w:rsidRDefault="00816193">
            <w:pPr>
              <w:jc w:val="left"/>
            </w:pPr>
            <w:r>
              <w:rPr>
                <w:rFonts w:eastAsiaTheme="minorEastAsia"/>
                <w:color w:val="000000" w:themeColor="text1"/>
                <w:sz w:val="24"/>
              </w:rPr>
              <w:t>过去三个月</w:t>
            </w:r>
          </w:p>
        </w:tc>
        <w:tc>
          <w:tcPr>
            <w:tcW w:w="0" w:type="auto"/>
            <w:vAlign w:val="center"/>
          </w:tcPr>
          <w:p w:rsidR="008C514E" w:rsidRDefault="00816193">
            <w:pPr>
              <w:jc w:val="right"/>
            </w:pPr>
            <w:r>
              <w:rPr>
                <w:rFonts w:eastAsiaTheme="minorEastAsia"/>
                <w:color w:val="000000" w:themeColor="text1"/>
                <w:sz w:val="24"/>
              </w:rPr>
              <w:t>5.80%</w:t>
            </w:r>
          </w:p>
        </w:tc>
        <w:tc>
          <w:tcPr>
            <w:tcW w:w="0" w:type="auto"/>
            <w:vAlign w:val="center"/>
          </w:tcPr>
          <w:p w:rsidR="008C514E" w:rsidRDefault="00816193">
            <w:pPr>
              <w:jc w:val="right"/>
            </w:pPr>
            <w:r>
              <w:rPr>
                <w:rFonts w:eastAsiaTheme="minorEastAsia"/>
                <w:color w:val="000000" w:themeColor="text1"/>
                <w:sz w:val="24"/>
              </w:rPr>
              <w:t>0.72%</w:t>
            </w:r>
          </w:p>
        </w:tc>
        <w:tc>
          <w:tcPr>
            <w:tcW w:w="0" w:type="auto"/>
            <w:vAlign w:val="center"/>
          </w:tcPr>
          <w:p w:rsidR="008C514E" w:rsidRDefault="00816193">
            <w:pPr>
              <w:jc w:val="right"/>
            </w:pPr>
            <w:r>
              <w:rPr>
                <w:rFonts w:eastAsiaTheme="minorEastAsia"/>
                <w:color w:val="000000" w:themeColor="text1"/>
                <w:sz w:val="24"/>
              </w:rPr>
              <w:t>4.94%</w:t>
            </w:r>
          </w:p>
        </w:tc>
        <w:tc>
          <w:tcPr>
            <w:tcW w:w="0" w:type="auto"/>
            <w:vAlign w:val="center"/>
          </w:tcPr>
          <w:p w:rsidR="008C514E" w:rsidRDefault="00816193">
            <w:pPr>
              <w:jc w:val="right"/>
            </w:pPr>
            <w:r>
              <w:rPr>
                <w:rFonts w:eastAsiaTheme="minorEastAsia"/>
                <w:color w:val="000000" w:themeColor="text1"/>
                <w:sz w:val="24"/>
              </w:rPr>
              <w:t>0.72%</w:t>
            </w:r>
          </w:p>
        </w:tc>
        <w:tc>
          <w:tcPr>
            <w:tcW w:w="0" w:type="auto"/>
            <w:vAlign w:val="center"/>
          </w:tcPr>
          <w:p w:rsidR="008C514E" w:rsidRDefault="00816193">
            <w:pPr>
              <w:jc w:val="right"/>
            </w:pPr>
            <w:r>
              <w:rPr>
                <w:rFonts w:eastAsiaTheme="minorEastAsia"/>
                <w:color w:val="000000" w:themeColor="text1"/>
                <w:sz w:val="24"/>
              </w:rPr>
              <w:t>0.86%</w:t>
            </w:r>
          </w:p>
        </w:tc>
        <w:tc>
          <w:tcPr>
            <w:tcW w:w="0" w:type="auto"/>
            <w:vAlign w:val="center"/>
          </w:tcPr>
          <w:p w:rsidR="008C514E" w:rsidRDefault="00816193">
            <w:pPr>
              <w:jc w:val="right"/>
            </w:pPr>
            <w:r>
              <w:rPr>
                <w:rFonts w:eastAsiaTheme="minorEastAsia"/>
                <w:color w:val="000000" w:themeColor="text1"/>
                <w:sz w:val="24"/>
              </w:rPr>
              <w:t>0.00%</w:t>
            </w:r>
          </w:p>
        </w:tc>
      </w:tr>
    </w:tbl>
    <w:p w:rsidR="009238DB" w:rsidRPr="00B34368" w:rsidRDefault="00FE7FBD" w:rsidP="00C544B8">
      <w:pPr>
        <w:adjustRightInd w:val="0"/>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易方达上证中盘</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C</w:t>
      </w:r>
      <w:r w:rsidR="009238DB" w:rsidRPr="00B34368">
        <w:rPr>
          <w:rFonts w:eastAsiaTheme="minorEastAsia" w:hAnsiTheme="minorEastAsia"/>
          <w:b/>
          <w:color w:val="000000" w:themeColor="text1"/>
          <w:kern w:val="0"/>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8C514E">
        <w:tc>
          <w:tcPr>
            <w:tcW w:w="0" w:type="auto"/>
            <w:vAlign w:val="center"/>
          </w:tcPr>
          <w:p w:rsidR="008C514E" w:rsidRDefault="00816193">
            <w:pPr>
              <w:jc w:val="left"/>
            </w:pPr>
            <w:r>
              <w:rPr>
                <w:rFonts w:eastAsiaTheme="minorEastAsia"/>
                <w:color w:val="000000" w:themeColor="text1"/>
                <w:sz w:val="24"/>
              </w:rPr>
              <w:t>过去三个月</w:t>
            </w:r>
          </w:p>
        </w:tc>
        <w:tc>
          <w:tcPr>
            <w:tcW w:w="0" w:type="auto"/>
            <w:vAlign w:val="center"/>
          </w:tcPr>
          <w:p w:rsidR="008C514E" w:rsidRDefault="00816193">
            <w:pPr>
              <w:jc w:val="right"/>
            </w:pPr>
            <w:r>
              <w:rPr>
                <w:rFonts w:eastAsiaTheme="minorEastAsia"/>
                <w:color w:val="000000" w:themeColor="text1"/>
                <w:sz w:val="24"/>
              </w:rPr>
              <w:t>5.73%</w:t>
            </w:r>
          </w:p>
        </w:tc>
        <w:tc>
          <w:tcPr>
            <w:tcW w:w="0" w:type="auto"/>
            <w:vAlign w:val="center"/>
          </w:tcPr>
          <w:p w:rsidR="008C514E" w:rsidRDefault="00816193">
            <w:pPr>
              <w:jc w:val="right"/>
            </w:pPr>
            <w:r>
              <w:rPr>
                <w:rFonts w:eastAsiaTheme="minorEastAsia"/>
                <w:color w:val="000000" w:themeColor="text1"/>
                <w:sz w:val="24"/>
              </w:rPr>
              <w:t>0.72%</w:t>
            </w:r>
          </w:p>
        </w:tc>
        <w:tc>
          <w:tcPr>
            <w:tcW w:w="0" w:type="auto"/>
            <w:vAlign w:val="center"/>
          </w:tcPr>
          <w:p w:rsidR="008C514E" w:rsidRDefault="00816193">
            <w:pPr>
              <w:jc w:val="right"/>
            </w:pPr>
            <w:r>
              <w:rPr>
                <w:rFonts w:eastAsiaTheme="minorEastAsia"/>
                <w:color w:val="000000" w:themeColor="text1"/>
                <w:sz w:val="24"/>
              </w:rPr>
              <w:t>4.94%</w:t>
            </w:r>
          </w:p>
        </w:tc>
        <w:tc>
          <w:tcPr>
            <w:tcW w:w="0" w:type="auto"/>
            <w:vAlign w:val="center"/>
          </w:tcPr>
          <w:p w:rsidR="008C514E" w:rsidRDefault="00816193">
            <w:pPr>
              <w:jc w:val="right"/>
            </w:pPr>
            <w:r>
              <w:rPr>
                <w:rFonts w:eastAsiaTheme="minorEastAsia"/>
                <w:color w:val="000000" w:themeColor="text1"/>
                <w:sz w:val="24"/>
              </w:rPr>
              <w:t>0.72%</w:t>
            </w:r>
          </w:p>
        </w:tc>
        <w:tc>
          <w:tcPr>
            <w:tcW w:w="0" w:type="auto"/>
            <w:vAlign w:val="center"/>
          </w:tcPr>
          <w:p w:rsidR="008C514E" w:rsidRDefault="00816193">
            <w:pPr>
              <w:jc w:val="right"/>
            </w:pPr>
            <w:r>
              <w:rPr>
                <w:rFonts w:eastAsiaTheme="minorEastAsia"/>
                <w:color w:val="000000" w:themeColor="text1"/>
                <w:sz w:val="24"/>
              </w:rPr>
              <w:t>0.79%</w:t>
            </w:r>
          </w:p>
        </w:tc>
        <w:tc>
          <w:tcPr>
            <w:tcW w:w="0" w:type="auto"/>
            <w:vAlign w:val="center"/>
          </w:tcPr>
          <w:p w:rsidR="008C514E" w:rsidRDefault="00816193">
            <w:pPr>
              <w:jc w:val="right"/>
            </w:pPr>
            <w:r>
              <w:rPr>
                <w:rFonts w:eastAsiaTheme="minorEastAsia"/>
                <w:color w:val="000000" w:themeColor="text1"/>
                <w:sz w:val="24"/>
              </w:rPr>
              <w:t>0.00%</w:t>
            </w:r>
          </w:p>
        </w:tc>
      </w:tr>
    </w:tbl>
    <w:p w:rsidR="009238DB" w:rsidRPr="00B34368" w:rsidRDefault="009238DB" w:rsidP="00C544B8">
      <w:pPr>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3.2.2</w:t>
      </w:r>
      <w:r w:rsidRPr="00B34368">
        <w:rPr>
          <w:rFonts w:eastAsiaTheme="minorEastAsia" w:hAnsiTheme="minorEastAsia"/>
          <w:b/>
          <w:color w:val="000000" w:themeColor="text1"/>
          <w:kern w:val="0"/>
          <w:sz w:val="24"/>
        </w:rPr>
        <w:t xml:space="preserve">　</w:t>
      </w:r>
      <w:r w:rsidR="00FE0C8B" w:rsidRPr="00B34368">
        <w:rPr>
          <w:rStyle w:val="af6"/>
          <w:rFonts w:eastAsiaTheme="minorEastAsia"/>
          <w:color w:val="000000" w:themeColor="text1"/>
          <w:sz w:val="24"/>
          <w:shd w:val="clear" w:color="auto" w:fill="FFFFFF"/>
        </w:rPr>
        <w:t>自基金合同生效以来</w:t>
      </w:r>
      <w:r w:rsidR="00BF57BE" w:rsidRPr="00B34368">
        <w:rPr>
          <w:rFonts w:eastAsiaTheme="minorEastAsia" w:hAnsiTheme="minorEastAsia"/>
          <w:b/>
          <w:color w:val="000000" w:themeColor="text1"/>
          <w:sz w:val="24"/>
        </w:rPr>
        <w:t>基金累计净值增长率变动及其与同期业绩比较基准收益率变动的比较</w:t>
      </w:r>
    </w:p>
    <w:p w:rsidR="009A045B" w:rsidRPr="00B34368" w:rsidRDefault="009A045B" w:rsidP="00FC13C8">
      <w:pPr>
        <w:spacing w:line="360" w:lineRule="auto"/>
        <w:jc w:val="center"/>
        <w:rPr>
          <w:rFonts w:eastAsiaTheme="minorEastAsia"/>
          <w:color w:val="000000" w:themeColor="text1"/>
          <w:sz w:val="24"/>
        </w:rPr>
      </w:pPr>
      <w:r w:rsidRPr="00B34368">
        <w:rPr>
          <w:rFonts w:eastAsiaTheme="minorEastAsia"/>
          <w:color w:val="000000" w:themeColor="text1"/>
          <w:sz w:val="24"/>
        </w:rPr>
        <w:t>易方达上证中盘交易型开放式指数证券投资基金联接基金</w:t>
      </w:r>
    </w:p>
    <w:p w:rsidR="00F84D52" w:rsidRDefault="00022396" w:rsidP="00F84D52">
      <w:pPr>
        <w:pStyle w:val="a5"/>
        <w:snapToGrid w:val="0"/>
        <w:spacing w:line="360" w:lineRule="auto"/>
        <w:ind w:firstLine="480"/>
        <w:jc w:val="center"/>
        <w:rPr>
          <w:rFonts w:ascii="Times New Roman" w:eastAsiaTheme="minorEastAsia" w:hAnsi="Times New Roman"/>
          <w:color w:val="000000" w:themeColor="text1"/>
          <w:sz w:val="24"/>
          <w:szCs w:val="24"/>
        </w:rPr>
      </w:pPr>
      <w:r w:rsidRPr="00B34368">
        <w:rPr>
          <w:rFonts w:ascii="Times New Roman" w:eastAsiaTheme="minorEastAsia" w:hAnsiTheme="minorEastAsia"/>
          <w:color w:val="000000" w:themeColor="text1"/>
          <w:sz w:val="24"/>
          <w:szCs w:val="24"/>
        </w:rPr>
        <w:t>累计净值增长率与业绩比较基准收益率的历史走势对比图</w:t>
      </w:r>
    </w:p>
    <w:p w:rsidR="00F84D52" w:rsidRDefault="0042785F" w:rsidP="00F84D52">
      <w:pPr>
        <w:snapToGrid w:val="0"/>
        <w:spacing w:line="360" w:lineRule="auto"/>
        <w:rPr>
          <w:rFonts w:eastAsiaTheme="minorEastAsia" w:hAnsi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r w:rsidR="009238DB"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2010</w:t>
      </w:r>
      <w:r w:rsidRPr="00F84D52">
        <w:rPr>
          <w:rFonts w:ascii="Times New Roman" w:hAnsi="Times New Roman"/>
          <w:sz w:val="24"/>
          <w:szCs w:val="24"/>
        </w:rPr>
        <w:t>年</w:t>
      </w:r>
      <w:r w:rsidRPr="00F84D52">
        <w:rPr>
          <w:rFonts w:ascii="Times New Roman" w:hAnsi="Times New Roman"/>
          <w:sz w:val="24"/>
          <w:szCs w:val="24"/>
        </w:rPr>
        <w:t>3</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日至</w:t>
      </w:r>
      <w:r w:rsidRPr="00F84D52">
        <w:rPr>
          <w:rFonts w:ascii="Times New Roman" w:hAnsi="Times New Roman"/>
          <w:sz w:val="24"/>
          <w:szCs w:val="24"/>
        </w:rPr>
        <w:t>2019</w:t>
      </w:r>
      <w:r w:rsidRPr="00F84D52">
        <w:rPr>
          <w:rFonts w:ascii="Times New Roman" w:hAnsi="Times New Roman"/>
          <w:sz w:val="24"/>
          <w:szCs w:val="24"/>
        </w:rPr>
        <w:t>年</w:t>
      </w:r>
      <w:r w:rsidRPr="00F84D52">
        <w:rPr>
          <w:rFonts w:ascii="Times New Roman" w:hAnsi="Times New Roman"/>
          <w:sz w:val="24"/>
          <w:szCs w:val="24"/>
        </w:rPr>
        <w:t>12</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6F5B4C"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84D52" w:rsidRDefault="00FE7FBD" w:rsidP="00F84D52">
      <w:pPr>
        <w:snapToGrid w:val="0"/>
        <w:spacing w:beforeLines="100" w:before="312" w:line="360" w:lineRule="auto"/>
        <w:rPr>
          <w:rFonts w:eastAsiaTheme="minorEastAsia" w:hAnsi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r w:rsidR="0042785F"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2017</w:t>
      </w:r>
      <w:r w:rsidRPr="00F84D52">
        <w:rPr>
          <w:rFonts w:ascii="Times New Roman" w:hAnsi="Times New Roman"/>
          <w:sz w:val="24"/>
          <w:szCs w:val="24"/>
        </w:rPr>
        <w:t>年</w:t>
      </w:r>
      <w:r w:rsidRPr="00F84D52">
        <w:rPr>
          <w:rFonts w:ascii="Times New Roman" w:hAnsi="Times New Roman"/>
          <w:sz w:val="24"/>
          <w:szCs w:val="24"/>
        </w:rPr>
        <w:t>6</w:t>
      </w:r>
      <w:r w:rsidRPr="00F84D52">
        <w:rPr>
          <w:rFonts w:ascii="Times New Roman" w:hAnsi="Times New Roman"/>
          <w:sz w:val="24"/>
          <w:szCs w:val="24"/>
        </w:rPr>
        <w:t>月</w:t>
      </w:r>
      <w:r w:rsidRPr="00F84D52">
        <w:rPr>
          <w:rFonts w:ascii="Times New Roman" w:hAnsi="Times New Roman"/>
          <w:sz w:val="24"/>
          <w:szCs w:val="24"/>
        </w:rPr>
        <w:t>5</w:t>
      </w:r>
      <w:r w:rsidRPr="00F84D52">
        <w:rPr>
          <w:rFonts w:ascii="Times New Roman" w:hAnsi="Times New Roman"/>
          <w:sz w:val="24"/>
          <w:szCs w:val="24"/>
        </w:rPr>
        <w:t>日至</w:t>
      </w:r>
      <w:r w:rsidRPr="00F84D52">
        <w:rPr>
          <w:rFonts w:ascii="Times New Roman" w:hAnsi="Times New Roman"/>
          <w:sz w:val="24"/>
          <w:szCs w:val="24"/>
        </w:rPr>
        <w:t>2019</w:t>
      </w:r>
      <w:r w:rsidRPr="00F84D52">
        <w:rPr>
          <w:rFonts w:ascii="Times New Roman" w:hAnsi="Times New Roman"/>
          <w:sz w:val="24"/>
          <w:szCs w:val="24"/>
        </w:rPr>
        <w:t>年</w:t>
      </w:r>
      <w:r w:rsidRPr="00F84D52">
        <w:rPr>
          <w:rFonts w:ascii="Times New Roman" w:hAnsi="Times New Roman"/>
          <w:sz w:val="24"/>
          <w:szCs w:val="24"/>
        </w:rPr>
        <w:t>12</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B70229"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自</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2</w:t>
      </w:r>
      <w:r>
        <w:rPr>
          <w:rFonts w:eastAsiaTheme="minorEastAsia"/>
          <w:color w:val="000000" w:themeColor="text1"/>
          <w:sz w:val="24"/>
        </w:rPr>
        <w:t>日起，本基金增设</w:t>
      </w:r>
      <w:r>
        <w:rPr>
          <w:rFonts w:eastAsiaTheme="minorEastAsia"/>
          <w:color w:val="000000" w:themeColor="text1"/>
          <w:sz w:val="24"/>
        </w:rPr>
        <w:t>C</w:t>
      </w:r>
      <w:r>
        <w:rPr>
          <w:rFonts w:eastAsiaTheme="minorEastAsia"/>
          <w:color w:val="000000" w:themeColor="text1"/>
          <w:sz w:val="24"/>
        </w:rPr>
        <w:t>类份额类别，份额首次确认日为</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5</w:t>
      </w:r>
      <w:r>
        <w:rPr>
          <w:rFonts w:eastAsiaTheme="minorEastAsia"/>
          <w:color w:val="000000" w:themeColor="text1"/>
          <w:sz w:val="24"/>
        </w:rPr>
        <w:t>日，增设当期的相关数据和指标按实际存续期计算。</w:t>
      </w:r>
    </w:p>
    <w:p w:rsidR="00973B57" w:rsidRPr="00B34368" w:rsidRDefault="00757FD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自基金合同生效至报告期末，</w:t>
      </w:r>
      <w:r w:rsidRPr="00B34368">
        <w:rPr>
          <w:rFonts w:eastAsiaTheme="minorEastAsia"/>
          <w:color w:val="000000" w:themeColor="text1"/>
          <w:sz w:val="24"/>
        </w:rPr>
        <w:t>A</w:t>
      </w:r>
      <w:r w:rsidRPr="00B34368">
        <w:rPr>
          <w:rFonts w:eastAsiaTheme="minorEastAsia"/>
          <w:color w:val="000000" w:themeColor="text1"/>
          <w:sz w:val="24"/>
        </w:rPr>
        <w:t>类基金份额净值增长率为</w:t>
      </w:r>
      <w:r w:rsidRPr="00B34368">
        <w:rPr>
          <w:rFonts w:eastAsiaTheme="minorEastAsia"/>
          <w:color w:val="000000" w:themeColor="text1"/>
          <w:sz w:val="24"/>
        </w:rPr>
        <w:t>39.18%</w:t>
      </w:r>
      <w:r w:rsidRPr="00B34368">
        <w:rPr>
          <w:rFonts w:eastAsiaTheme="minorEastAsia"/>
          <w:color w:val="000000" w:themeColor="text1"/>
          <w:sz w:val="24"/>
        </w:rPr>
        <w:t>，同期业绩比较基准收益率为</w:t>
      </w:r>
      <w:r w:rsidRPr="00B34368">
        <w:rPr>
          <w:rFonts w:eastAsiaTheme="minorEastAsia"/>
          <w:color w:val="000000" w:themeColor="text1"/>
          <w:sz w:val="24"/>
        </w:rPr>
        <w:t>9.59%</w:t>
      </w:r>
      <w:r w:rsidRPr="00B34368">
        <w:rPr>
          <w:rFonts w:eastAsiaTheme="minorEastAsia"/>
          <w:color w:val="000000" w:themeColor="text1"/>
          <w:sz w:val="24"/>
        </w:rPr>
        <w:t>。</w:t>
      </w:r>
      <w:r w:rsidRPr="00B34368">
        <w:rPr>
          <w:rFonts w:eastAsiaTheme="minorEastAsia"/>
          <w:color w:val="000000" w:themeColor="text1"/>
          <w:sz w:val="24"/>
        </w:rPr>
        <w:t>C</w:t>
      </w:r>
      <w:r w:rsidRPr="00B34368">
        <w:rPr>
          <w:rFonts w:eastAsiaTheme="minorEastAsia"/>
          <w:color w:val="000000" w:themeColor="text1"/>
          <w:sz w:val="24"/>
        </w:rPr>
        <w:t>类基金份额净值增长率为</w:t>
      </w:r>
      <w:r w:rsidRPr="00B34368">
        <w:rPr>
          <w:rFonts w:eastAsiaTheme="minorEastAsia"/>
          <w:color w:val="000000" w:themeColor="text1"/>
          <w:sz w:val="24"/>
        </w:rPr>
        <w:t>15.19%</w:t>
      </w:r>
      <w:r w:rsidRPr="00B34368">
        <w:rPr>
          <w:rFonts w:eastAsiaTheme="minorEastAsia"/>
          <w:color w:val="000000" w:themeColor="text1"/>
          <w:sz w:val="24"/>
        </w:rPr>
        <w:t>，同期业绩比较基准收益率为</w:t>
      </w:r>
      <w:r w:rsidRPr="00B34368">
        <w:rPr>
          <w:rFonts w:eastAsiaTheme="minorEastAsia"/>
          <w:color w:val="000000" w:themeColor="text1"/>
          <w:sz w:val="24"/>
        </w:rPr>
        <w:t>3.63%</w:t>
      </w:r>
      <w:r w:rsidRPr="00B34368">
        <w:rPr>
          <w:rFonts w:eastAsiaTheme="minorEastAsia"/>
          <w:color w:val="000000" w:themeColor="text1"/>
          <w:sz w:val="24"/>
        </w:rPr>
        <w:t>。</w:t>
      </w:r>
    </w:p>
    <w:p w:rsidR="00E561F9" w:rsidRPr="00B34368" w:rsidRDefault="00E561F9" w:rsidP="00E561F9">
      <w:pPr>
        <w:tabs>
          <w:tab w:val="left" w:pos="1800"/>
        </w:tabs>
        <w:spacing w:line="288" w:lineRule="auto"/>
        <w:rPr>
          <w:rFonts w:eastAsiaTheme="minorEastAsia"/>
          <w:color w:val="000000" w:themeColor="text1"/>
          <w:sz w:val="24"/>
        </w:rPr>
      </w:pP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§4  </w:t>
      </w:r>
      <w:r w:rsidRPr="00B34368">
        <w:rPr>
          <w:rFonts w:eastAsiaTheme="minorEastAsia" w:hAnsiTheme="minorEastAsia"/>
          <w:color w:val="000000" w:themeColor="text1"/>
          <w:kern w:val="0"/>
          <w:sz w:val="24"/>
          <w:szCs w:val="24"/>
        </w:rPr>
        <w:t>管理人报告</w:t>
      </w:r>
    </w:p>
    <w:p w:rsidR="00C544B8" w:rsidRDefault="009238DB" w:rsidP="00C544B8">
      <w:pPr>
        <w:autoSpaceDE w:val="0"/>
        <w:autoSpaceDN w:val="0"/>
        <w:adjustRightInd w:val="0"/>
        <w:spacing w:line="360" w:lineRule="auto"/>
        <w:jc w:val="left"/>
        <w:rPr>
          <w:rFonts w:ascii="宋体" w:cs="Arial"/>
          <w:b/>
          <w:color w:val="000000"/>
          <w:kern w:val="0"/>
          <w:sz w:val="24"/>
        </w:rPr>
      </w:pPr>
      <w:r w:rsidRPr="00B34368">
        <w:rPr>
          <w:rFonts w:eastAsiaTheme="minorEastAsia"/>
          <w:b/>
          <w:color w:val="000000" w:themeColor="text1"/>
          <w:kern w:val="0"/>
          <w:sz w:val="24"/>
        </w:rPr>
        <w:t xml:space="preserve">4.1 </w:t>
      </w:r>
      <w:r w:rsidRPr="00B34368">
        <w:rPr>
          <w:rFonts w:eastAsiaTheme="minorEastAsia" w:hAnsiTheme="minorEastAsia"/>
          <w:b/>
          <w:color w:val="000000" w:themeColor="text1"/>
          <w:kern w:val="0"/>
          <w:sz w:val="24"/>
        </w:rPr>
        <w:t>基金经理（或基金经理小组）简介</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32"/>
        <w:gridCol w:w="851"/>
        <w:gridCol w:w="850"/>
        <w:gridCol w:w="851"/>
        <w:gridCol w:w="2975"/>
      </w:tblGrid>
      <w:tr w:rsidR="00C544B8" w:rsidTr="00C544B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职务</w:t>
            </w:r>
          </w:p>
        </w:tc>
        <w:tc>
          <w:tcPr>
            <w:tcW w:w="1701" w:type="dxa"/>
            <w:gridSpan w:val="2"/>
            <w:tcBorders>
              <w:top w:val="single" w:sz="4" w:space="0" w:color="auto"/>
              <w:left w:val="single" w:sz="4" w:space="0" w:color="auto"/>
              <w:bottom w:val="single" w:sz="4" w:space="0" w:color="auto"/>
              <w:right w:val="single" w:sz="4" w:space="0" w:color="auto"/>
            </w:tcBorders>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任本基金的基金经理期限</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证券从业年限</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说明</w:t>
            </w:r>
          </w:p>
        </w:tc>
      </w:tr>
      <w:tr w:rsidR="00C544B8" w:rsidTr="00C544B8">
        <w:trPr>
          <w:cantSplit/>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任职日期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离任日期</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r>
      <w:tr w:rsidR="008C514E">
        <w:tc>
          <w:tcPr>
            <w:tcW w:w="0" w:type="auto"/>
            <w:vAlign w:val="center"/>
          </w:tcPr>
          <w:p w:rsidR="008C514E" w:rsidRDefault="00816193">
            <w:pPr>
              <w:jc w:val="center"/>
            </w:pPr>
            <w:r>
              <w:rPr>
                <w:color w:val="000000"/>
                <w:sz w:val="24"/>
              </w:rPr>
              <w:t>刘树荣</w:t>
            </w:r>
          </w:p>
        </w:tc>
        <w:tc>
          <w:tcPr>
            <w:tcW w:w="0" w:type="auto"/>
            <w:vAlign w:val="center"/>
          </w:tcPr>
          <w:p w:rsidR="008C514E" w:rsidRDefault="00816193">
            <w:pPr>
              <w:jc w:val="center"/>
            </w:pPr>
            <w:r>
              <w:rPr>
                <w:color w:val="000000"/>
                <w:sz w:val="24"/>
              </w:rPr>
              <w:t>本基金的基金经理、易方达中证</w:t>
            </w:r>
            <w:r>
              <w:rPr>
                <w:color w:val="000000"/>
                <w:sz w:val="24"/>
              </w:rPr>
              <w:t>800</w:t>
            </w:r>
            <w:r>
              <w:rPr>
                <w:color w:val="000000"/>
                <w:sz w:val="24"/>
              </w:rPr>
              <w:t>交易型开放式指数证券投资基金发起式联接基金的基金经理、易方达中证</w:t>
            </w:r>
            <w:r>
              <w:rPr>
                <w:color w:val="000000"/>
                <w:sz w:val="24"/>
              </w:rPr>
              <w:t>800</w:t>
            </w:r>
            <w:r>
              <w:rPr>
                <w:color w:val="000000"/>
                <w:sz w:val="24"/>
              </w:rPr>
              <w:t>交易型开放式指数证券投资基金的基金经理、易方达中小板指数证券投资基金（</w:t>
            </w:r>
            <w:r>
              <w:rPr>
                <w:color w:val="000000"/>
                <w:sz w:val="24"/>
              </w:rPr>
              <w:t>LOF</w:t>
            </w:r>
            <w:r>
              <w:rPr>
                <w:color w:val="000000"/>
                <w:sz w:val="24"/>
              </w:rPr>
              <w:t>）（原易方达中小板指数分级证券投资基金）的基金经理、易方达银行指数分级证券投资基金的基金经理、易方达香港恒生综合小型股指数证券投资基金（</w:t>
            </w:r>
            <w:r>
              <w:rPr>
                <w:color w:val="000000"/>
                <w:sz w:val="24"/>
              </w:rPr>
              <w:t>LOF</w:t>
            </w:r>
            <w:r>
              <w:rPr>
                <w:color w:val="000000"/>
                <w:sz w:val="24"/>
              </w:rPr>
              <w:t>）的基金经理、易方达生物科技指数分级证券投资基金的基金经理、易方达深证</w:t>
            </w:r>
            <w:r>
              <w:rPr>
                <w:color w:val="000000"/>
                <w:sz w:val="24"/>
              </w:rPr>
              <w:t>100</w:t>
            </w:r>
            <w:r>
              <w:rPr>
                <w:color w:val="000000"/>
                <w:sz w:val="24"/>
              </w:rPr>
              <w:t>交易型开放式指数证券投资基金联接基金的基金经理、易方达深证</w:t>
            </w:r>
            <w:r>
              <w:rPr>
                <w:color w:val="000000"/>
                <w:sz w:val="24"/>
              </w:rPr>
              <w:t>100</w:t>
            </w:r>
            <w:r>
              <w:rPr>
                <w:color w:val="000000"/>
                <w:sz w:val="24"/>
              </w:rPr>
              <w:t>交易型开放式指数基金的基金经理、易方达上证中盘交易</w:t>
            </w:r>
            <w:r>
              <w:rPr>
                <w:color w:val="000000"/>
                <w:sz w:val="24"/>
              </w:rPr>
              <w:t>型开放式指数证券投资基金的基金经理、易方达创业板交易型开放式指数证券投资基金联接基金的基金经理、易方达创业板交易型开放式指数证券投资基金的基金经理、易方达并购重组指数分级证券投资基金的基金经理、易方达标普医疗保健指数证券投资基金（</w:t>
            </w:r>
            <w:r>
              <w:rPr>
                <w:color w:val="000000"/>
                <w:sz w:val="24"/>
              </w:rPr>
              <w:t>LOF</w:t>
            </w:r>
            <w:r>
              <w:rPr>
                <w:color w:val="000000"/>
                <w:sz w:val="24"/>
              </w:rPr>
              <w:t>）的基金经理、易方达标普信息科技指数证券投资基金（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）的基金经理、易方达标普</w:t>
            </w:r>
            <w:r>
              <w:rPr>
                <w:color w:val="000000"/>
                <w:sz w:val="24"/>
              </w:rPr>
              <w:t>500</w:t>
            </w:r>
            <w:r>
              <w:rPr>
                <w:color w:val="000000"/>
                <w:sz w:val="24"/>
              </w:rPr>
              <w:t>指数证券投资基金（</w:t>
            </w:r>
            <w:r>
              <w:rPr>
                <w:color w:val="000000"/>
                <w:sz w:val="24"/>
              </w:rPr>
              <w:t>LOF</w:t>
            </w:r>
            <w:r>
              <w:rPr>
                <w:color w:val="000000"/>
                <w:sz w:val="24"/>
              </w:rPr>
              <w:t>）的基金经理</w:t>
            </w:r>
          </w:p>
        </w:tc>
        <w:tc>
          <w:tcPr>
            <w:tcW w:w="0" w:type="auto"/>
            <w:vAlign w:val="center"/>
          </w:tcPr>
          <w:p w:rsidR="008C514E" w:rsidRDefault="00816193">
            <w:pPr>
              <w:jc w:val="center"/>
            </w:pPr>
            <w:r>
              <w:rPr>
                <w:color w:val="000000"/>
                <w:sz w:val="24"/>
              </w:rPr>
              <w:t>2018-08-11</w:t>
            </w:r>
          </w:p>
        </w:tc>
        <w:tc>
          <w:tcPr>
            <w:tcW w:w="0" w:type="auto"/>
            <w:vAlign w:val="center"/>
          </w:tcPr>
          <w:p w:rsidR="008C514E" w:rsidRDefault="00816193">
            <w:pPr>
              <w:jc w:val="center"/>
            </w:pPr>
            <w:r>
              <w:rPr>
                <w:color w:val="000000"/>
                <w:sz w:val="24"/>
              </w:rPr>
              <w:t>-</w:t>
            </w:r>
          </w:p>
        </w:tc>
        <w:tc>
          <w:tcPr>
            <w:tcW w:w="0" w:type="auto"/>
            <w:vAlign w:val="center"/>
          </w:tcPr>
          <w:p w:rsidR="008C514E" w:rsidRDefault="00816193">
            <w:pPr>
              <w:jc w:val="center"/>
            </w:pPr>
            <w:r>
              <w:rPr>
                <w:color w:val="000000"/>
                <w:sz w:val="24"/>
              </w:rPr>
              <w:t>12</w:t>
            </w:r>
            <w:r>
              <w:rPr>
                <w:color w:val="000000"/>
                <w:sz w:val="24"/>
              </w:rPr>
              <w:t>年</w:t>
            </w:r>
          </w:p>
        </w:tc>
        <w:tc>
          <w:tcPr>
            <w:tcW w:w="0" w:type="auto"/>
            <w:vAlign w:val="center"/>
          </w:tcPr>
          <w:p w:rsidR="008C514E" w:rsidRDefault="00816193">
            <w:r>
              <w:rPr>
                <w:color w:val="000000"/>
                <w:sz w:val="24"/>
              </w:rPr>
              <w:t>硕士研究生，具有基金从业资格。曾任招商银行资产托管部基金会计，</w:t>
            </w:r>
            <w:r>
              <w:rPr>
                <w:color w:val="000000"/>
                <w:sz w:val="24"/>
              </w:rPr>
              <w:t>易方达基金管理有限公司核算部基金核算专员、指数与量化投资部运作支持专员、基金经理助理、易方达深证成指交易型开放式指数证券投资基金基金经理、易方达深证成指交易型开放式指数证券投资基金联接基金基金经理。</w:t>
            </w:r>
          </w:p>
        </w:tc>
      </w:tr>
    </w:tbl>
    <w:p w:rsidR="008C514E" w:rsidRDefault="00816193">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5C7D00" w:rsidRPr="00B34368" w:rsidRDefault="00C544B8" w:rsidP="00547A9A">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2.</w:t>
      </w:r>
      <w:r>
        <w:rPr>
          <w:color w:val="000000"/>
          <w:sz w:val="24"/>
        </w:rPr>
        <w:t>证券从业的含义遵从《证券业从业人员资格管理办法》的相关规定。</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4.2</w:t>
      </w:r>
      <w:r w:rsidR="00B34368" w:rsidRPr="00B34368">
        <w:rPr>
          <w:rFonts w:eastAsiaTheme="minorEastAsia" w:hAnsiTheme="minorEastAsia"/>
          <w:b/>
          <w:color w:val="000000" w:themeColor="text1"/>
          <w:kern w:val="0"/>
          <w:sz w:val="24"/>
        </w:rPr>
        <w:t>管理人对</w:t>
      </w:r>
      <w:r w:rsidRPr="00B34368">
        <w:rPr>
          <w:rFonts w:eastAsiaTheme="minorEastAsia" w:hAnsiTheme="minorEastAsia"/>
          <w:b/>
          <w:color w:val="000000" w:themeColor="text1"/>
          <w:kern w:val="0"/>
          <w:sz w:val="24"/>
        </w:rPr>
        <w:t>报告期内本基金运作遵规守信情况</w:t>
      </w:r>
      <w:r w:rsidR="002F7889" w:rsidRPr="002F7889">
        <w:rPr>
          <w:rFonts w:eastAsiaTheme="minorEastAsia" w:hAnsiTheme="minorEastAsia"/>
          <w:b/>
          <w:color w:val="000000" w:themeColor="text1"/>
          <w:kern w:val="0"/>
          <w:sz w:val="24"/>
        </w:rPr>
        <w:t>的</w:t>
      </w:r>
      <w:r w:rsidRPr="00B34368">
        <w:rPr>
          <w:rFonts w:eastAsiaTheme="minorEastAsia" w:hAnsiTheme="minorEastAsia"/>
          <w:b/>
          <w:color w:val="000000" w:themeColor="text1"/>
          <w:kern w:val="0"/>
          <w:sz w:val="24"/>
        </w:rPr>
        <w:t>说明</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4.3 </w:t>
      </w:r>
      <w:r w:rsidRPr="00B34368">
        <w:rPr>
          <w:rFonts w:eastAsiaTheme="minorEastAsia" w:hAnsiTheme="minorEastAsia"/>
          <w:b/>
          <w:color w:val="000000" w:themeColor="text1"/>
          <w:kern w:val="0"/>
          <w:sz w:val="24"/>
        </w:rPr>
        <w:t>公平交易专项说明</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 xml:space="preserve">4.3.1 </w:t>
      </w:r>
      <w:r w:rsidRPr="00B34368">
        <w:rPr>
          <w:rFonts w:eastAsiaTheme="minorEastAsia" w:hAnsiTheme="minorEastAsia"/>
          <w:color w:val="000000" w:themeColor="text1"/>
          <w:sz w:val="24"/>
        </w:rPr>
        <w:t>公平交易制度的执行情况</w:t>
      </w:r>
    </w:p>
    <w:p w:rsidR="00D15733"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B34368">
        <w:rPr>
          <w:rFonts w:eastAsiaTheme="minorEastAsia"/>
          <w:color w:val="000000" w:themeColor="text1"/>
          <w:sz w:val="24"/>
        </w:rPr>
        <w:t>“</w:t>
      </w:r>
      <w:r w:rsidRPr="00B34368">
        <w:rPr>
          <w:rFonts w:eastAsiaTheme="minorEastAsia"/>
          <w:color w:val="000000" w:themeColor="text1"/>
          <w:sz w:val="24"/>
        </w:rPr>
        <w:t>时间优先、价格优先</w:t>
      </w:r>
      <w:r w:rsidRPr="00B34368">
        <w:rPr>
          <w:rFonts w:eastAsiaTheme="minorEastAsia"/>
          <w:color w:val="000000" w:themeColor="text1"/>
          <w:sz w:val="24"/>
        </w:rPr>
        <w:t>”</w:t>
      </w:r>
      <w:r w:rsidRPr="00B34368">
        <w:rPr>
          <w:rFonts w:eastAsiaTheme="minorEastAsia"/>
          <w:color w:val="000000" w:themeColor="text1"/>
          <w:sz w:val="24"/>
        </w:rPr>
        <w:t>作为执行指令的基本原则，通过投资交易系统中的公平交易模块，以尽可能确保公平对待各投资组合。本报告期内，公平交易制度总体执行情况良好。</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4.3.</w:t>
      </w:r>
      <w:r w:rsidR="005B6047" w:rsidRPr="00B34368">
        <w:rPr>
          <w:rFonts w:eastAsiaTheme="minorEastAsia"/>
          <w:color w:val="000000" w:themeColor="text1"/>
          <w:sz w:val="24"/>
        </w:rPr>
        <w:t>2</w:t>
      </w:r>
      <w:r w:rsidRPr="00B34368">
        <w:rPr>
          <w:rFonts w:eastAsiaTheme="minorEastAsia"/>
          <w:color w:val="000000" w:themeColor="text1"/>
          <w:sz w:val="24"/>
        </w:rPr>
        <w:t xml:space="preserve"> </w:t>
      </w:r>
      <w:r w:rsidRPr="00B34368">
        <w:rPr>
          <w:rFonts w:eastAsiaTheme="minorEastAsia" w:hAnsiTheme="minorEastAsia"/>
          <w:color w:val="000000" w:themeColor="text1"/>
          <w:sz w:val="24"/>
        </w:rPr>
        <w:t>异常交易行为的专项说明</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本报告期内，公司旗下所有投资组合参与的交易所公开竞价交易中，同日反向交易成交较少的单边交易量超过该证券当日成交量的</w:t>
      </w:r>
      <w:r>
        <w:rPr>
          <w:rFonts w:eastAsiaTheme="minorEastAsia"/>
          <w:color w:val="000000" w:themeColor="text1"/>
          <w:sz w:val="24"/>
        </w:rPr>
        <w:t>5%</w:t>
      </w:r>
      <w:r>
        <w:rPr>
          <w:rFonts w:eastAsiaTheme="minorEastAsia"/>
          <w:color w:val="000000" w:themeColor="text1"/>
          <w:sz w:val="24"/>
        </w:rPr>
        <w:t>的交易共</w:t>
      </w:r>
      <w:r>
        <w:rPr>
          <w:rFonts w:eastAsiaTheme="minorEastAsia"/>
          <w:color w:val="000000" w:themeColor="text1"/>
          <w:sz w:val="24"/>
        </w:rPr>
        <w:t>28</w:t>
      </w:r>
      <w:r>
        <w:rPr>
          <w:rFonts w:eastAsiaTheme="minorEastAsia"/>
          <w:color w:val="000000" w:themeColor="text1"/>
          <w:sz w:val="24"/>
        </w:rPr>
        <w:t>次，其中</w:t>
      </w:r>
      <w:r>
        <w:rPr>
          <w:rFonts w:eastAsiaTheme="minorEastAsia"/>
          <w:color w:val="000000" w:themeColor="text1"/>
          <w:sz w:val="24"/>
        </w:rPr>
        <w:t>27</w:t>
      </w:r>
      <w:r>
        <w:rPr>
          <w:rFonts w:eastAsiaTheme="minorEastAsia"/>
          <w:color w:val="000000" w:themeColor="text1"/>
          <w:sz w:val="24"/>
        </w:rPr>
        <w:t>次为指数量化投资组合因投资策略需要和其他组合发生的</w:t>
      </w:r>
      <w:r>
        <w:rPr>
          <w:rFonts w:eastAsiaTheme="minorEastAsia"/>
          <w:color w:val="000000" w:themeColor="text1"/>
          <w:sz w:val="24"/>
        </w:rPr>
        <w:t>反向交易，</w:t>
      </w:r>
      <w:r>
        <w:rPr>
          <w:rFonts w:eastAsiaTheme="minorEastAsia"/>
          <w:color w:val="000000" w:themeColor="text1"/>
          <w:sz w:val="24"/>
        </w:rPr>
        <w:t>1</w:t>
      </w:r>
      <w:r>
        <w:rPr>
          <w:rFonts w:eastAsiaTheme="minorEastAsia"/>
          <w:color w:val="000000" w:themeColor="text1"/>
          <w:sz w:val="24"/>
        </w:rPr>
        <w:t>次为不同基金经理管理的基金因投资策略不同而发生的反向交易，有关基金经理按规定履行了审批程序。</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本报告期内，未发现本基金有可能导致不公平交易和利益输送的异常交易。</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4.4 </w:t>
      </w:r>
      <w:r w:rsidRPr="00B34368">
        <w:rPr>
          <w:rFonts w:eastAsiaTheme="minorEastAsia" w:hAnsiTheme="minorEastAsia"/>
          <w:b/>
          <w:color w:val="000000" w:themeColor="text1"/>
          <w:kern w:val="0"/>
          <w:sz w:val="24"/>
        </w:rPr>
        <w:t>报告期内基金的投资策略和业绩表现说明</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4.4.1</w:t>
      </w:r>
      <w:r w:rsidRPr="00B34368">
        <w:rPr>
          <w:rFonts w:eastAsiaTheme="minorEastAsia" w:hAnsiTheme="minorEastAsia"/>
          <w:color w:val="000000" w:themeColor="text1"/>
          <w:sz w:val="24"/>
        </w:rPr>
        <w:t>报告期内基金投资策略和运作分析</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本基金跟踪的标的指数为上证中盘指数，上证中盘指数由上证</w:t>
      </w:r>
      <w:r>
        <w:rPr>
          <w:rFonts w:eastAsiaTheme="minorEastAsia"/>
          <w:color w:val="000000" w:themeColor="text1"/>
          <w:sz w:val="24"/>
        </w:rPr>
        <w:t>180</w:t>
      </w:r>
      <w:r>
        <w:rPr>
          <w:rFonts w:eastAsiaTheme="minorEastAsia"/>
          <w:color w:val="000000" w:themeColor="text1"/>
          <w:sz w:val="24"/>
        </w:rPr>
        <w:t>指数成份股中剔除</w:t>
      </w:r>
      <w:r>
        <w:rPr>
          <w:rFonts w:eastAsiaTheme="minorEastAsia"/>
          <w:color w:val="000000" w:themeColor="text1"/>
          <w:sz w:val="24"/>
        </w:rPr>
        <w:t>50</w:t>
      </w:r>
      <w:r>
        <w:rPr>
          <w:rFonts w:eastAsiaTheme="minorEastAsia"/>
          <w:color w:val="000000" w:themeColor="text1"/>
          <w:sz w:val="24"/>
        </w:rPr>
        <w:t>只上证</w:t>
      </w:r>
      <w:r>
        <w:rPr>
          <w:rFonts w:eastAsiaTheme="minorEastAsia"/>
          <w:color w:val="000000" w:themeColor="text1"/>
          <w:sz w:val="24"/>
        </w:rPr>
        <w:t>50</w:t>
      </w:r>
      <w:r>
        <w:rPr>
          <w:rFonts w:eastAsiaTheme="minorEastAsia"/>
          <w:color w:val="000000" w:themeColor="text1"/>
          <w:sz w:val="24"/>
        </w:rPr>
        <w:t>指数成份股后剩余的</w:t>
      </w:r>
      <w:r>
        <w:rPr>
          <w:rFonts w:eastAsiaTheme="minorEastAsia"/>
          <w:color w:val="000000" w:themeColor="text1"/>
          <w:sz w:val="24"/>
        </w:rPr>
        <w:t>130</w:t>
      </w:r>
      <w:r>
        <w:rPr>
          <w:rFonts w:eastAsiaTheme="minorEastAsia"/>
          <w:color w:val="000000" w:themeColor="text1"/>
          <w:sz w:val="24"/>
        </w:rPr>
        <w:t>家成份股构成，以综合反映沪市中盘公司的整体状况。</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四季度初，国内经济下行压力加大，</w:t>
      </w:r>
      <w:r>
        <w:rPr>
          <w:rFonts w:eastAsiaTheme="minorEastAsia"/>
          <w:color w:val="000000" w:themeColor="text1"/>
          <w:sz w:val="24"/>
        </w:rPr>
        <w:t>CPI</w:t>
      </w:r>
      <w:r>
        <w:rPr>
          <w:rFonts w:eastAsiaTheme="minorEastAsia"/>
          <w:color w:val="000000" w:themeColor="text1"/>
          <w:sz w:val="24"/>
        </w:rPr>
        <w:t>同比大幅上升，货币政策宽松受掣肘，与此同时，海外经济数据疲软，引起了全球经济衰退的担忧，国内股票市场普遍下跌。进入</w:t>
      </w:r>
      <w:r>
        <w:rPr>
          <w:rFonts w:eastAsiaTheme="minorEastAsia"/>
          <w:color w:val="000000" w:themeColor="text1"/>
          <w:sz w:val="24"/>
        </w:rPr>
        <w:t>12</w:t>
      </w:r>
      <w:r>
        <w:rPr>
          <w:rFonts w:eastAsiaTheme="minorEastAsia"/>
          <w:color w:val="000000" w:themeColor="text1"/>
          <w:sz w:val="24"/>
        </w:rPr>
        <w:t>月，国内经济出现企稳信号，</w:t>
      </w:r>
      <w:r>
        <w:rPr>
          <w:rFonts w:eastAsiaTheme="minorEastAsia"/>
          <w:color w:val="000000" w:themeColor="text1"/>
          <w:sz w:val="24"/>
        </w:rPr>
        <w:t>11</w:t>
      </w:r>
      <w:r>
        <w:rPr>
          <w:rFonts w:eastAsiaTheme="minorEastAsia"/>
          <w:color w:val="000000" w:themeColor="text1"/>
          <w:sz w:val="24"/>
        </w:rPr>
        <w:t>月制造业</w:t>
      </w:r>
      <w:r>
        <w:rPr>
          <w:rFonts w:eastAsiaTheme="minorEastAsia"/>
          <w:color w:val="000000" w:themeColor="text1"/>
          <w:sz w:val="24"/>
        </w:rPr>
        <w:t>PMI</w:t>
      </w:r>
      <w:r>
        <w:rPr>
          <w:rFonts w:eastAsiaTheme="minorEastAsia"/>
          <w:color w:val="000000" w:themeColor="text1"/>
          <w:sz w:val="24"/>
        </w:rPr>
        <w:t>为</w:t>
      </w:r>
      <w:r>
        <w:rPr>
          <w:rFonts w:eastAsiaTheme="minorEastAsia"/>
          <w:color w:val="000000" w:themeColor="text1"/>
          <w:sz w:val="24"/>
        </w:rPr>
        <w:t>50.2</w:t>
      </w:r>
      <w:r>
        <w:rPr>
          <w:rFonts w:eastAsiaTheme="minorEastAsia"/>
          <w:color w:val="000000" w:themeColor="text1"/>
          <w:sz w:val="24"/>
        </w:rPr>
        <w:t>（前值</w:t>
      </w:r>
      <w:r>
        <w:rPr>
          <w:rFonts w:eastAsiaTheme="minorEastAsia"/>
          <w:color w:val="000000" w:themeColor="text1"/>
          <w:sz w:val="24"/>
        </w:rPr>
        <w:t xml:space="preserve"> 49.3</w:t>
      </w:r>
      <w:r>
        <w:rPr>
          <w:rFonts w:eastAsiaTheme="minorEastAsia"/>
          <w:color w:val="000000" w:themeColor="text1"/>
          <w:sz w:val="24"/>
        </w:rPr>
        <w:t>），好于市场预期，</w:t>
      </w:r>
      <w:r>
        <w:rPr>
          <w:rFonts w:eastAsiaTheme="minorEastAsia"/>
          <w:color w:val="000000" w:themeColor="text1"/>
          <w:sz w:val="24"/>
        </w:rPr>
        <w:t>12</w:t>
      </w:r>
      <w:r>
        <w:rPr>
          <w:rFonts w:eastAsiaTheme="minorEastAsia"/>
          <w:color w:val="000000" w:themeColor="text1"/>
          <w:sz w:val="24"/>
        </w:rPr>
        <w:t>月制造业</w:t>
      </w:r>
      <w:r>
        <w:rPr>
          <w:rFonts w:eastAsiaTheme="minorEastAsia"/>
          <w:color w:val="000000" w:themeColor="text1"/>
          <w:sz w:val="24"/>
        </w:rPr>
        <w:t>PMI</w:t>
      </w:r>
      <w:r>
        <w:rPr>
          <w:rFonts w:eastAsiaTheme="minorEastAsia"/>
          <w:color w:val="000000" w:themeColor="text1"/>
          <w:sz w:val="24"/>
        </w:rPr>
        <w:t>持平前值至</w:t>
      </w:r>
      <w:r>
        <w:rPr>
          <w:rFonts w:eastAsiaTheme="minorEastAsia"/>
          <w:color w:val="000000" w:themeColor="text1"/>
          <w:sz w:val="24"/>
        </w:rPr>
        <w:t>50.2%</w:t>
      </w:r>
      <w:r>
        <w:rPr>
          <w:rFonts w:eastAsiaTheme="minorEastAsia"/>
          <w:color w:val="000000" w:themeColor="text1"/>
          <w:sz w:val="24"/>
        </w:rPr>
        <w:t>，继续好于市场预期；与此同时，海外数据开始回暖，市场产生了对全球经济弱复苏的预期。此外，中美第一阶段经贸协议达成一致更是带动了市场情绪，直接推动了股票市场的上涨。本报告期内，上证中盘指数上涨</w:t>
      </w:r>
      <w:r>
        <w:rPr>
          <w:rFonts w:eastAsiaTheme="minorEastAsia"/>
          <w:color w:val="000000" w:themeColor="text1"/>
          <w:sz w:val="24"/>
        </w:rPr>
        <w:t>5.2%</w:t>
      </w:r>
      <w:r>
        <w:rPr>
          <w:rFonts w:eastAsiaTheme="minorEastAsia"/>
          <w:color w:val="000000" w:themeColor="text1"/>
          <w:sz w:val="24"/>
        </w:rPr>
        <w:t>。</w:t>
      </w:r>
    </w:p>
    <w:p w:rsidR="00952A72"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本基金易方达上证中盘</w:t>
      </w:r>
      <w:r w:rsidRPr="00B34368">
        <w:rPr>
          <w:rFonts w:eastAsiaTheme="minorEastAsia"/>
          <w:color w:val="000000" w:themeColor="text1"/>
          <w:sz w:val="24"/>
        </w:rPr>
        <w:t>ETF</w:t>
      </w:r>
      <w:r w:rsidRPr="00B34368">
        <w:rPr>
          <w:rFonts w:eastAsiaTheme="minorEastAsia"/>
          <w:color w:val="000000" w:themeColor="text1"/>
          <w:sz w:val="24"/>
        </w:rPr>
        <w:t>的联接基金，主要投资于易方达上证中盘</w:t>
      </w:r>
      <w:r w:rsidRPr="00B34368">
        <w:rPr>
          <w:rFonts w:eastAsiaTheme="minorEastAsia"/>
          <w:color w:val="000000" w:themeColor="text1"/>
          <w:sz w:val="24"/>
        </w:rPr>
        <w:t>ETF</w:t>
      </w:r>
      <w:r w:rsidRPr="00B34368">
        <w:rPr>
          <w:rFonts w:eastAsiaTheme="minorEastAsia"/>
          <w:color w:val="000000" w:themeColor="text1"/>
          <w:sz w:val="24"/>
        </w:rPr>
        <w:t>。基金运作层面，报告期内，本基金严守基金合同认真对待投资者申购、赎回以及成分股调整事项，保障基金的正常运作，基金跟踪误差以及日均偏离度等指标控制在合同规定范围之内。</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4.4.2</w:t>
      </w:r>
      <w:r w:rsidRPr="00B34368">
        <w:rPr>
          <w:rFonts w:eastAsiaTheme="minorEastAsia" w:hAnsiTheme="minorEastAsia"/>
          <w:color w:val="000000" w:themeColor="text1"/>
          <w:sz w:val="24"/>
        </w:rPr>
        <w:t>报告期内基金的业绩表现</w:t>
      </w:r>
    </w:p>
    <w:p w:rsidR="008129C0" w:rsidRPr="00F405D4" w:rsidRDefault="00323F25" w:rsidP="00F405D4">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截至报告期末，本基金</w:t>
      </w:r>
      <w:r w:rsidRPr="00B34368">
        <w:rPr>
          <w:rFonts w:eastAsiaTheme="minorEastAsia"/>
          <w:color w:val="000000" w:themeColor="text1"/>
          <w:sz w:val="24"/>
        </w:rPr>
        <w:t>A</w:t>
      </w:r>
      <w:r w:rsidRPr="00B34368">
        <w:rPr>
          <w:rFonts w:eastAsiaTheme="minorEastAsia"/>
          <w:color w:val="000000" w:themeColor="text1"/>
          <w:sz w:val="24"/>
        </w:rPr>
        <w:t>类基金份额净值为</w:t>
      </w:r>
      <w:r w:rsidRPr="00B34368">
        <w:rPr>
          <w:rFonts w:eastAsiaTheme="minorEastAsia"/>
          <w:color w:val="000000" w:themeColor="text1"/>
          <w:sz w:val="24"/>
        </w:rPr>
        <w:t>1.3918</w:t>
      </w:r>
      <w:r w:rsidRPr="00B34368">
        <w:rPr>
          <w:rFonts w:eastAsiaTheme="minorEastAsia"/>
          <w:color w:val="000000" w:themeColor="text1"/>
          <w:sz w:val="24"/>
        </w:rPr>
        <w:t>元，本报告期份额净值增长率为</w:t>
      </w:r>
      <w:r w:rsidRPr="00B34368">
        <w:rPr>
          <w:rFonts w:eastAsiaTheme="minorEastAsia"/>
          <w:color w:val="000000" w:themeColor="text1"/>
          <w:sz w:val="24"/>
        </w:rPr>
        <w:t>5.80%</w:t>
      </w:r>
      <w:r w:rsidRPr="00B34368">
        <w:rPr>
          <w:rFonts w:eastAsiaTheme="minorEastAsia"/>
          <w:color w:val="000000" w:themeColor="text1"/>
          <w:sz w:val="24"/>
        </w:rPr>
        <w:t>；</w:t>
      </w:r>
      <w:r w:rsidRPr="00B34368">
        <w:rPr>
          <w:rFonts w:eastAsiaTheme="minorEastAsia"/>
          <w:color w:val="000000" w:themeColor="text1"/>
          <w:sz w:val="24"/>
        </w:rPr>
        <w:t>C</w:t>
      </w:r>
      <w:r w:rsidRPr="00B34368">
        <w:rPr>
          <w:rFonts w:eastAsiaTheme="minorEastAsia"/>
          <w:color w:val="000000" w:themeColor="text1"/>
          <w:sz w:val="24"/>
        </w:rPr>
        <w:t>类基金份额净值为</w:t>
      </w:r>
      <w:r w:rsidRPr="00B34368">
        <w:rPr>
          <w:rFonts w:eastAsiaTheme="minorEastAsia"/>
          <w:color w:val="000000" w:themeColor="text1"/>
          <w:sz w:val="24"/>
        </w:rPr>
        <w:t>1.4277</w:t>
      </w:r>
      <w:r w:rsidRPr="00B34368">
        <w:rPr>
          <w:rFonts w:eastAsiaTheme="minorEastAsia"/>
          <w:color w:val="000000" w:themeColor="text1"/>
          <w:sz w:val="24"/>
        </w:rPr>
        <w:t>元，本报告期份额净值增长率为</w:t>
      </w:r>
      <w:r w:rsidRPr="00B34368">
        <w:rPr>
          <w:rFonts w:eastAsiaTheme="minorEastAsia"/>
          <w:color w:val="000000" w:themeColor="text1"/>
          <w:sz w:val="24"/>
        </w:rPr>
        <w:t>5.73%</w:t>
      </w:r>
      <w:r w:rsidRPr="00B34368">
        <w:rPr>
          <w:rFonts w:eastAsiaTheme="minorEastAsia"/>
          <w:color w:val="000000" w:themeColor="text1"/>
          <w:sz w:val="24"/>
        </w:rPr>
        <w:t>；同期业绩比较基准收益率为</w:t>
      </w:r>
      <w:r w:rsidRPr="00B34368">
        <w:rPr>
          <w:rFonts w:eastAsiaTheme="minorEastAsia"/>
          <w:color w:val="000000" w:themeColor="text1"/>
          <w:sz w:val="24"/>
        </w:rPr>
        <w:t>4.94%</w:t>
      </w:r>
      <w:r w:rsidRPr="00B34368">
        <w:rPr>
          <w:rFonts w:eastAsiaTheme="minorEastAsia"/>
          <w:color w:val="000000" w:themeColor="text1"/>
          <w:sz w:val="24"/>
        </w:rPr>
        <w:t>。年化跟踪误差</w:t>
      </w:r>
      <w:r w:rsidRPr="00B34368">
        <w:rPr>
          <w:rFonts w:eastAsiaTheme="minorEastAsia"/>
          <w:color w:val="000000" w:themeColor="text1"/>
          <w:sz w:val="24"/>
        </w:rPr>
        <w:t>1.12%</w:t>
      </w:r>
      <w:r w:rsidRPr="00B34368">
        <w:rPr>
          <w:rFonts w:eastAsiaTheme="minorEastAsia"/>
          <w:color w:val="000000" w:themeColor="text1"/>
          <w:sz w:val="24"/>
        </w:rPr>
        <w:t>，在合同规定的目标控制范围之内。</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§5  </w:t>
      </w:r>
      <w:r w:rsidRPr="00B34368">
        <w:rPr>
          <w:rFonts w:eastAsiaTheme="minorEastAsia" w:hAnsiTheme="minorEastAsia"/>
          <w:color w:val="000000" w:themeColor="text1"/>
          <w:kern w:val="0"/>
          <w:sz w:val="24"/>
          <w:szCs w:val="24"/>
        </w:rPr>
        <w:t>投资组合报告</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5.1 </w:t>
      </w:r>
      <w:r w:rsidRPr="00B34368">
        <w:rPr>
          <w:rFonts w:eastAsiaTheme="minorEastAsia" w:hAnsiTheme="minorEastAsia"/>
          <w:b/>
          <w:color w:val="000000" w:themeColor="text1"/>
          <w:kern w:val="0"/>
          <w:sz w:val="24"/>
        </w:rPr>
        <w:t>报告期末基金资产组合情况</w:t>
      </w:r>
    </w:p>
    <w:tbl>
      <w:tblPr>
        <w:tblStyle w:val="af2"/>
        <w:tblW w:w="0" w:type="auto"/>
        <w:tblInd w:w="108" w:type="dxa"/>
        <w:tblLayout w:type="fixed"/>
        <w:tblLook w:val="04A0" w:firstRow="1" w:lastRow="0" w:firstColumn="1" w:lastColumn="0" w:noHBand="0" w:noVBand="1"/>
      </w:tblPr>
      <w:tblGrid>
        <w:gridCol w:w="720"/>
        <w:gridCol w:w="3357"/>
        <w:gridCol w:w="2694"/>
        <w:gridCol w:w="1757"/>
      </w:tblGrid>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3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项目</w:t>
            </w:r>
          </w:p>
        </w:tc>
        <w:tc>
          <w:tcPr>
            <w:tcW w:w="2694"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金额</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占基金总资产的比例</w:t>
            </w: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权益投资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其中：股票</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基金投资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195,862,295.82</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93.93</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固定收益投资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247,995.65</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0.12</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其中：债券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247,995.65</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0.12</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B34368">
            <w:pPr>
              <w:autoSpaceDE w:val="0"/>
              <w:autoSpaceDN w:val="0"/>
              <w:adjustRightInd w:val="0"/>
              <w:spacing w:before="29" w:line="360" w:lineRule="auto"/>
              <w:ind w:left="17" w:firstLineChars="300" w:firstLine="720"/>
              <w:jc w:val="left"/>
              <w:rPr>
                <w:rFonts w:eastAsiaTheme="minorEastAsia"/>
                <w:color w:val="000000" w:themeColor="text1"/>
                <w:sz w:val="24"/>
              </w:rPr>
            </w:pPr>
            <w:r w:rsidRPr="00B34368">
              <w:rPr>
                <w:rFonts w:eastAsiaTheme="minorEastAsia" w:hAnsiTheme="minorEastAsia"/>
                <w:color w:val="000000" w:themeColor="text1"/>
                <w:sz w:val="24"/>
              </w:rPr>
              <w:t>资产支持证券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tcPr>
          <w:p w:rsidR="00B007B6" w:rsidRPr="00B34368" w:rsidRDefault="00B007B6" w:rsidP="00DD272F">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357" w:type="dxa"/>
          </w:tcPr>
          <w:p w:rsidR="00B007B6" w:rsidRPr="00B34368" w:rsidRDefault="00B007B6" w:rsidP="00DD272F">
            <w:pPr>
              <w:spacing w:before="29" w:line="360" w:lineRule="auto"/>
              <w:ind w:leftChars="50" w:left="105"/>
              <w:rPr>
                <w:rFonts w:eastAsiaTheme="minorEastAsia"/>
                <w:color w:val="000000" w:themeColor="text1"/>
                <w:sz w:val="24"/>
              </w:rPr>
            </w:pPr>
            <w:r w:rsidRPr="00B34368">
              <w:rPr>
                <w:rFonts w:eastAsiaTheme="minorEastAsia" w:hAnsiTheme="minorEastAsia"/>
                <w:color w:val="000000" w:themeColor="text1"/>
                <w:sz w:val="24"/>
              </w:rPr>
              <w:t>贵金属投资</w:t>
            </w:r>
          </w:p>
        </w:tc>
        <w:tc>
          <w:tcPr>
            <w:tcW w:w="2694"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金融衍生品投资</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其中：买断式回购的买入返售金融资产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银行存款和结算备付金合计</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11,928,724.13</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5.72</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357" w:type="dxa"/>
            <w:vAlign w:val="center"/>
          </w:tcPr>
          <w:p w:rsidR="00B007B6" w:rsidRPr="00B34368" w:rsidRDefault="00E57CD3" w:rsidP="00A3193E">
            <w:pPr>
              <w:jc w:val="left"/>
              <w:rPr>
                <w:rFonts w:eastAsiaTheme="minorEastAsia"/>
                <w:color w:val="000000" w:themeColor="text1"/>
                <w:sz w:val="24"/>
              </w:rPr>
            </w:pPr>
            <w:r>
              <w:rPr>
                <w:rFonts w:eastAsiaTheme="minorEastAsia" w:hAnsiTheme="minorEastAsia"/>
                <w:color w:val="000000" w:themeColor="text1"/>
                <w:sz w:val="24"/>
              </w:rPr>
              <w:t>其他</w:t>
            </w:r>
            <w:r w:rsidR="00B007B6" w:rsidRPr="00B34368">
              <w:rPr>
                <w:rFonts w:eastAsiaTheme="minorEastAsia" w:hAnsiTheme="minorEastAsia"/>
                <w:color w:val="000000" w:themeColor="text1"/>
                <w:sz w:val="24"/>
              </w:rPr>
              <w:t>资产</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478,608.79</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0.23</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357" w:type="dxa"/>
            <w:vAlign w:val="center"/>
          </w:tcPr>
          <w:p w:rsidR="00B007B6" w:rsidRPr="00B34368" w:rsidRDefault="00B007B6" w:rsidP="00A3193E">
            <w:pPr>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208,517,624.39</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100.00</w:t>
            </w:r>
          </w:p>
        </w:tc>
      </w:tr>
    </w:tbl>
    <w:p w:rsidR="0040218E" w:rsidRPr="00B34368" w:rsidRDefault="0040218E"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5.2</w:t>
      </w:r>
      <w:r w:rsidRPr="00B34368">
        <w:rPr>
          <w:rFonts w:eastAsiaTheme="minorEastAsia" w:hAnsiTheme="minorEastAsia"/>
          <w:b/>
          <w:color w:val="000000" w:themeColor="text1"/>
          <w:kern w:val="0"/>
          <w:sz w:val="24"/>
        </w:rPr>
        <w:t>期末投资目标基金明细</w:t>
      </w:r>
    </w:p>
    <w:tbl>
      <w:tblPr>
        <w:tblStyle w:val="af2"/>
        <w:tblW w:w="0" w:type="auto"/>
        <w:tblInd w:w="108" w:type="dxa"/>
        <w:tblLook w:val="04A0" w:firstRow="1" w:lastRow="0" w:firstColumn="1" w:lastColumn="0" w:noHBand="0" w:noVBand="1"/>
      </w:tblPr>
      <w:tblGrid>
        <w:gridCol w:w="1194"/>
        <w:gridCol w:w="1195"/>
        <w:gridCol w:w="1195"/>
        <w:gridCol w:w="1195"/>
        <w:gridCol w:w="1195"/>
        <w:gridCol w:w="1489"/>
        <w:gridCol w:w="1465"/>
      </w:tblGrid>
      <w:tr w:rsidR="00D3639B" w:rsidRPr="00B34368" w:rsidTr="00975D18">
        <w:tc>
          <w:tcPr>
            <w:tcW w:w="1215"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基金类型</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运作方式</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管理人</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00A22E07" w:rsidRPr="00B34368">
              <w:rPr>
                <w:rFonts w:eastAsiaTheme="minorEastAsia" w:hAnsiTheme="minorEastAsia"/>
                <w:color w:val="000000" w:themeColor="text1"/>
                <w:sz w:val="24"/>
              </w:rPr>
              <w:t>（元）</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占基金资产净值比例（</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w:t>
            </w:r>
          </w:p>
        </w:tc>
      </w:tr>
      <w:tr w:rsidR="008C514E">
        <w:tc>
          <w:tcPr>
            <w:tcW w:w="0" w:type="auto"/>
            <w:vAlign w:val="center"/>
          </w:tcPr>
          <w:p w:rsidR="008C514E" w:rsidRDefault="00816193">
            <w:pPr>
              <w:jc w:val="center"/>
            </w:pPr>
            <w:r>
              <w:rPr>
                <w:rFonts w:eastAsiaTheme="minorEastAsia"/>
                <w:color w:val="000000" w:themeColor="text1"/>
                <w:sz w:val="24"/>
              </w:rPr>
              <w:t>1</w:t>
            </w:r>
          </w:p>
        </w:tc>
        <w:tc>
          <w:tcPr>
            <w:tcW w:w="0" w:type="auto"/>
            <w:vAlign w:val="center"/>
          </w:tcPr>
          <w:p w:rsidR="008C514E" w:rsidRDefault="00816193">
            <w:pPr>
              <w:jc w:val="center"/>
            </w:pPr>
            <w:r>
              <w:rPr>
                <w:rFonts w:eastAsiaTheme="minorEastAsia"/>
                <w:color w:val="000000" w:themeColor="text1"/>
                <w:sz w:val="24"/>
              </w:rPr>
              <w:t>易方达上证中盘交易型开放式指数证券投资基金</w:t>
            </w:r>
          </w:p>
        </w:tc>
        <w:tc>
          <w:tcPr>
            <w:tcW w:w="0" w:type="auto"/>
            <w:vAlign w:val="center"/>
          </w:tcPr>
          <w:p w:rsidR="008C514E" w:rsidRDefault="00816193">
            <w:pPr>
              <w:jc w:val="center"/>
            </w:pPr>
            <w:r>
              <w:rPr>
                <w:rFonts w:eastAsiaTheme="minorEastAsia"/>
                <w:color w:val="000000" w:themeColor="text1"/>
                <w:sz w:val="24"/>
              </w:rPr>
              <w:t>股票型</w:t>
            </w:r>
          </w:p>
        </w:tc>
        <w:tc>
          <w:tcPr>
            <w:tcW w:w="0" w:type="auto"/>
            <w:vAlign w:val="center"/>
          </w:tcPr>
          <w:p w:rsidR="008C514E" w:rsidRDefault="00816193">
            <w:pPr>
              <w:jc w:val="center"/>
            </w:pPr>
            <w:r>
              <w:rPr>
                <w:rFonts w:eastAsiaTheme="minorEastAsia"/>
                <w:color w:val="000000" w:themeColor="text1"/>
                <w:sz w:val="24"/>
              </w:rPr>
              <w:t>交易型开放式（</w:t>
            </w:r>
            <w:r>
              <w:rPr>
                <w:rFonts w:eastAsiaTheme="minorEastAsia"/>
                <w:color w:val="000000" w:themeColor="text1"/>
                <w:sz w:val="24"/>
              </w:rPr>
              <w:t>ETF</w:t>
            </w:r>
            <w:r>
              <w:rPr>
                <w:rFonts w:eastAsiaTheme="minorEastAsia"/>
                <w:color w:val="000000" w:themeColor="text1"/>
                <w:sz w:val="24"/>
              </w:rPr>
              <w:t>）</w:t>
            </w:r>
          </w:p>
        </w:tc>
        <w:tc>
          <w:tcPr>
            <w:tcW w:w="0" w:type="auto"/>
            <w:vAlign w:val="center"/>
          </w:tcPr>
          <w:p w:rsidR="008C514E" w:rsidRDefault="00816193">
            <w:pPr>
              <w:jc w:val="center"/>
            </w:pPr>
            <w:r>
              <w:rPr>
                <w:rFonts w:eastAsiaTheme="minorEastAsia"/>
                <w:color w:val="000000" w:themeColor="text1"/>
                <w:sz w:val="24"/>
              </w:rPr>
              <w:t>易方达基金管理有限公司</w:t>
            </w:r>
          </w:p>
        </w:tc>
        <w:tc>
          <w:tcPr>
            <w:tcW w:w="0" w:type="auto"/>
            <w:vAlign w:val="center"/>
          </w:tcPr>
          <w:p w:rsidR="008C514E" w:rsidRDefault="00816193">
            <w:pPr>
              <w:jc w:val="right"/>
            </w:pPr>
            <w:r>
              <w:rPr>
                <w:rFonts w:eastAsiaTheme="minorEastAsia"/>
                <w:color w:val="000000" w:themeColor="text1"/>
                <w:sz w:val="24"/>
              </w:rPr>
              <w:t>195,862,295.82</w:t>
            </w:r>
          </w:p>
        </w:tc>
        <w:tc>
          <w:tcPr>
            <w:tcW w:w="0" w:type="auto"/>
            <w:vAlign w:val="center"/>
          </w:tcPr>
          <w:p w:rsidR="008C514E" w:rsidRDefault="00816193">
            <w:pPr>
              <w:jc w:val="right"/>
            </w:pPr>
            <w:r>
              <w:rPr>
                <w:rFonts w:eastAsiaTheme="minorEastAsia"/>
                <w:color w:val="000000" w:themeColor="text1"/>
                <w:sz w:val="24"/>
              </w:rPr>
              <w:t>94.87</w:t>
            </w:r>
          </w:p>
        </w:tc>
      </w:tr>
    </w:tbl>
    <w:p w:rsidR="0054389B" w:rsidRPr="00B34368" w:rsidRDefault="0054389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5.3 </w:t>
      </w:r>
      <w:r w:rsidRPr="00B34368">
        <w:rPr>
          <w:rFonts w:eastAsiaTheme="minorEastAsia" w:hAnsiTheme="minorEastAsia"/>
          <w:b/>
          <w:color w:val="000000" w:themeColor="text1"/>
          <w:kern w:val="0"/>
          <w:sz w:val="24"/>
        </w:rPr>
        <w:t>报告期末按行业分类的股票投资组合</w:t>
      </w:r>
    </w:p>
    <w:p w:rsidR="0054389B" w:rsidRPr="00B34368" w:rsidRDefault="0054389B" w:rsidP="0054389B">
      <w:pPr>
        <w:rPr>
          <w:rFonts w:eastAsiaTheme="minorEastAsia"/>
          <w:b/>
          <w:sz w:val="24"/>
        </w:rPr>
      </w:pPr>
      <w:r w:rsidRPr="00B34368">
        <w:rPr>
          <w:rFonts w:eastAsiaTheme="minorEastAsia"/>
          <w:b/>
          <w:color w:val="000000" w:themeColor="text1"/>
          <w:kern w:val="0"/>
          <w:sz w:val="24"/>
        </w:rPr>
        <w:t>5.3.1</w:t>
      </w:r>
      <w:r w:rsidRPr="00B34368">
        <w:rPr>
          <w:rFonts w:eastAsiaTheme="minorEastAsia" w:hAnsiTheme="minorEastAsia"/>
          <w:b/>
          <w:color w:val="000000" w:themeColor="text1"/>
          <w:kern w:val="0"/>
          <w:sz w:val="24"/>
        </w:rPr>
        <w:t>报告期末按行业分类的境内股票投资组合</w:t>
      </w:r>
    </w:p>
    <w:p w:rsidR="009238DB" w:rsidRPr="00B34368" w:rsidRDefault="000871DB"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本基金本报告期末未持有境内股票。</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4</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报告期末按公允价值占基金资产净值比例大小排序的前十名股票投资明细</w:t>
      </w:r>
    </w:p>
    <w:p w:rsidR="009238DB" w:rsidRPr="00B34368" w:rsidRDefault="000871DB"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本基金本报告期末未持有股票。</w:t>
      </w:r>
    </w:p>
    <w:p w:rsidR="00F21B6D"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5</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260"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债券品种</w:t>
            </w:r>
          </w:p>
        </w:tc>
        <w:tc>
          <w:tcPr>
            <w:tcW w:w="2410"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r w:rsidRPr="00B34368">
              <w:rPr>
                <w:rFonts w:eastAsiaTheme="minorEastAsia" w:hAnsiTheme="minorEastAsia"/>
                <w:color w:val="000000" w:themeColor="text1"/>
                <w:sz w:val="24"/>
              </w:rPr>
              <w:t>％</w:t>
            </w: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国家债券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央行票据</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其中：政策性金融债</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企业债券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企业短期融资券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中期票据</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260" w:type="dxa"/>
            <w:vAlign w:val="center"/>
          </w:tcPr>
          <w:p w:rsidR="00F21B6D" w:rsidRPr="00B34368" w:rsidRDefault="0054389B"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可转债（可交换债）</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247,995.65</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0.12</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同业存单</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其他</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10</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247,995.65</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0.12</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6</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的前五名债券投资明细</w:t>
      </w:r>
    </w:p>
    <w:tbl>
      <w:tblPr>
        <w:tblStyle w:val="af2"/>
        <w:tblW w:w="0" w:type="auto"/>
        <w:tblInd w:w="108" w:type="dxa"/>
        <w:tblLayout w:type="fixed"/>
        <w:tblLook w:val="04A0" w:firstRow="1" w:lastRow="0" w:firstColumn="1" w:lastColumn="0" w:noHBand="0" w:noVBand="1"/>
      </w:tblPr>
      <w:tblGrid>
        <w:gridCol w:w="1504"/>
        <w:gridCol w:w="1504"/>
        <w:gridCol w:w="1504"/>
        <w:gridCol w:w="1503"/>
        <w:gridCol w:w="1503"/>
        <w:gridCol w:w="1503"/>
      </w:tblGrid>
      <w:tr w:rsidR="00D3639B" w:rsidRPr="00B34368" w:rsidTr="00975D18">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债券代码</w:t>
            </w:r>
          </w:p>
        </w:tc>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债券名称</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数量（张）</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w:t>
            </w:r>
            <w:r w:rsidR="00334656" w:rsidRPr="00B34368">
              <w:rPr>
                <w:rFonts w:eastAsiaTheme="minorEastAsia" w:hAnsiTheme="minorEastAsia"/>
                <w:color w:val="000000" w:themeColor="text1"/>
                <w:kern w:val="0"/>
                <w:sz w:val="24"/>
              </w:rPr>
              <w:t>例</w:t>
            </w:r>
            <w:r w:rsidRPr="00B34368">
              <w:rPr>
                <w:rFonts w:eastAsiaTheme="minorEastAsia" w:hAnsiTheme="minorEastAsia"/>
                <w:color w:val="000000" w:themeColor="text1"/>
                <w:kern w:val="0"/>
                <w:sz w:val="24"/>
              </w:rPr>
              <w:t>（％）</w:t>
            </w:r>
          </w:p>
        </w:tc>
      </w:tr>
      <w:tr w:rsidR="008C514E">
        <w:tc>
          <w:tcPr>
            <w:tcW w:w="0" w:type="auto"/>
            <w:vAlign w:val="center"/>
          </w:tcPr>
          <w:p w:rsidR="008C514E" w:rsidRDefault="00816193">
            <w:pPr>
              <w:jc w:val="center"/>
            </w:pPr>
            <w:r>
              <w:rPr>
                <w:rFonts w:eastAsiaTheme="minorEastAsia"/>
                <w:color w:val="000000" w:themeColor="text1"/>
                <w:sz w:val="24"/>
              </w:rPr>
              <w:t>1</w:t>
            </w:r>
          </w:p>
        </w:tc>
        <w:tc>
          <w:tcPr>
            <w:tcW w:w="0" w:type="auto"/>
            <w:vAlign w:val="center"/>
          </w:tcPr>
          <w:p w:rsidR="008C514E" w:rsidRDefault="00816193">
            <w:pPr>
              <w:jc w:val="center"/>
            </w:pPr>
            <w:r>
              <w:rPr>
                <w:rFonts w:eastAsiaTheme="minorEastAsia"/>
                <w:color w:val="000000" w:themeColor="text1"/>
                <w:sz w:val="24"/>
              </w:rPr>
              <w:t>113029</w:t>
            </w:r>
          </w:p>
        </w:tc>
        <w:tc>
          <w:tcPr>
            <w:tcW w:w="0" w:type="auto"/>
            <w:vAlign w:val="center"/>
          </w:tcPr>
          <w:p w:rsidR="008C514E" w:rsidRDefault="00816193">
            <w:pPr>
              <w:jc w:val="center"/>
            </w:pPr>
            <w:r>
              <w:rPr>
                <w:rFonts w:eastAsiaTheme="minorEastAsia"/>
                <w:color w:val="000000" w:themeColor="text1"/>
                <w:sz w:val="24"/>
              </w:rPr>
              <w:t>明阳转债</w:t>
            </w:r>
          </w:p>
        </w:tc>
        <w:tc>
          <w:tcPr>
            <w:tcW w:w="0" w:type="auto"/>
            <w:vAlign w:val="center"/>
          </w:tcPr>
          <w:p w:rsidR="008C514E" w:rsidRDefault="00816193">
            <w:pPr>
              <w:jc w:val="right"/>
            </w:pPr>
            <w:r>
              <w:rPr>
                <w:rFonts w:eastAsiaTheme="minorEastAsia"/>
                <w:color w:val="000000" w:themeColor="text1"/>
                <w:sz w:val="24"/>
              </w:rPr>
              <w:t>900</w:t>
            </w:r>
          </w:p>
        </w:tc>
        <w:tc>
          <w:tcPr>
            <w:tcW w:w="0" w:type="auto"/>
            <w:vAlign w:val="center"/>
          </w:tcPr>
          <w:p w:rsidR="008C514E" w:rsidRDefault="00816193">
            <w:pPr>
              <w:jc w:val="right"/>
            </w:pPr>
            <w:r>
              <w:rPr>
                <w:rFonts w:eastAsiaTheme="minorEastAsia"/>
                <w:color w:val="000000" w:themeColor="text1"/>
                <w:sz w:val="24"/>
              </w:rPr>
              <w:t>89,998.42</w:t>
            </w:r>
          </w:p>
        </w:tc>
        <w:tc>
          <w:tcPr>
            <w:tcW w:w="0" w:type="auto"/>
            <w:vAlign w:val="center"/>
          </w:tcPr>
          <w:p w:rsidR="008C514E" w:rsidRDefault="00816193">
            <w:pPr>
              <w:jc w:val="right"/>
            </w:pPr>
            <w:r>
              <w:rPr>
                <w:rFonts w:eastAsiaTheme="minorEastAsia"/>
                <w:color w:val="000000" w:themeColor="text1"/>
                <w:sz w:val="24"/>
              </w:rPr>
              <w:t>0.04</w:t>
            </w:r>
          </w:p>
        </w:tc>
      </w:tr>
      <w:tr w:rsidR="008C514E">
        <w:tc>
          <w:tcPr>
            <w:tcW w:w="0" w:type="auto"/>
            <w:vAlign w:val="center"/>
          </w:tcPr>
          <w:p w:rsidR="008C514E" w:rsidRDefault="00816193">
            <w:pPr>
              <w:jc w:val="center"/>
            </w:pPr>
            <w:r>
              <w:rPr>
                <w:rFonts w:eastAsiaTheme="minorEastAsia"/>
                <w:color w:val="000000" w:themeColor="text1"/>
                <w:sz w:val="24"/>
              </w:rPr>
              <w:t>2</w:t>
            </w:r>
          </w:p>
        </w:tc>
        <w:tc>
          <w:tcPr>
            <w:tcW w:w="0" w:type="auto"/>
            <w:vAlign w:val="center"/>
          </w:tcPr>
          <w:p w:rsidR="008C514E" w:rsidRDefault="00816193">
            <w:pPr>
              <w:jc w:val="center"/>
            </w:pPr>
            <w:r>
              <w:rPr>
                <w:rFonts w:eastAsiaTheme="minorEastAsia"/>
                <w:color w:val="000000" w:themeColor="text1"/>
                <w:sz w:val="24"/>
              </w:rPr>
              <w:t>128085</w:t>
            </w:r>
          </w:p>
        </w:tc>
        <w:tc>
          <w:tcPr>
            <w:tcW w:w="0" w:type="auto"/>
            <w:vAlign w:val="center"/>
          </w:tcPr>
          <w:p w:rsidR="008C514E" w:rsidRDefault="00816193">
            <w:pPr>
              <w:jc w:val="center"/>
            </w:pPr>
            <w:r>
              <w:rPr>
                <w:rFonts w:eastAsiaTheme="minorEastAsia"/>
                <w:color w:val="000000" w:themeColor="text1"/>
                <w:sz w:val="24"/>
              </w:rPr>
              <w:t>鸿达转债</w:t>
            </w:r>
          </w:p>
        </w:tc>
        <w:tc>
          <w:tcPr>
            <w:tcW w:w="0" w:type="auto"/>
            <w:vAlign w:val="center"/>
          </w:tcPr>
          <w:p w:rsidR="008C514E" w:rsidRDefault="00816193">
            <w:pPr>
              <w:jc w:val="right"/>
            </w:pPr>
            <w:r>
              <w:rPr>
                <w:rFonts w:eastAsiaTheme="minorEastAsia"/>
                <w:color w:val="000000" w:themeColor="text1"/>
                <w:sz w:val="24"/>
              </w:rPr>
              <w:t>570</w:t>
            </w:r>
          </w:p>
        </w:tc>
        <w:tc>
          <w:tcPr>
            <w:tcW w:w="0" w:type="auto"/>
            <w:vAlign w:val="center"/>
          </w:tcPr>
          <w:p w:rsidR="008C514E" w:rsidRDefault="00816193">
            <w:pPr>
              <w:jc w:val="right"/>
            </w:pPr>
            <w:r>
              <w:rPr>
                <w:rFonts w:eastAsiaTheme="minorEastAsia"/>
                <w:color w:val="000000" w:themeColor="text1"/>
                <w:sz w:val="24"/>
              </w:rPr>
              <w:t>56,999.00</w:t>
            </w:r>
          </w:p>
        </w:tc>
        <w:tc>
          <w:tcPr>
            <w:tcW w:w="0" w:type="auto"/>
            <w:vAlign w:val="center"/>
          </w:tcPr>
          <w:p w:rsidR="008C514E" w:rsidRDefault="00816193">
            <w:pPr>
              <w:jc w:val="right"/>
            </w:pPr>
            <w:r>
              <w:rPr>
                <w:rFonts w:eastAsiaTheme="minorEastAsia"/>
                <w:color w:val="000000" w:themeColor="text1"/>
                <w:sz w:val="24"/>
              </w:rPr>
              <w:t>0.03</w:t>
            </w:r>
          </w:p>
        </w:tc>
      </w:tr>
      <w:tr w:rsidR="008C514E">
        <w:tc>
          <w:tcPr>
            <w:tcW w:w="0" w:type="auto"/>
            <w:vAlign w:val="center"/>
          </w:tcPr>
          <w:p w:rsidR="008C514E" w:rsidRDefault="00816193">
            <w:pPr>
              <w:jc w:val="center"/>
            </w:pPr>
            <w:r>
              <w:rPr>
                <w:rFonts w:eastAsiaTheme="minorEastAsia"/>
                <w:color w:val="000000" w:themeColor="text1"/>
                <w:sz w:val="24"/>
              </w:rPr>
              <w:t>3</w:t>
            </w:r>
          </w:p>
        </w:tc>
        <w:tc>
          <w:tcPr>
            <w:tcW w:w="0" w:type="auto"/>
            <w:vAlign w:val="center"/>
          </w:tcPr>
          <w:p w:rsidR="008C514E" w:rsidRDefault="00816193">
            <w:pPr>
              <w:jc w:val="center"/>
            </w:pPr>
            <w:r>
              <w:rPr>
                <w:rFonts w:eastAsiaTheme="minorEastAsia"/>
                <w:color w:val="000000" w:themeColor="text1"/>
                <w:sz w:val="24"/>
              </w:rPr>
              <w:t>128084</w:t>
            </w:r>
          </w:p>
        </w:tc>
        <w:tc>
          <w:tcPr>
            <w:tcW w:w="0" w:type="auto"/>
            <w:vAlign w:val="center"/>
          </w:tcPr>
          <w:p w:rsidR="008C514E" w:rsidRDefault="00816193">
            <w:pPr>
              <w:jc w:val="center"/>
            </w:pPr>
            <w:r>
              <w:rPr>
                <w:rFonts w:eastAsiaTheme="minorEastAsia"/>
                <w:color w:val="000000" w:themeColor="text1"/>
                <w:sz w:val="24"/>
              </w:rPr>
              <w:t>木森转债</w:t>
            </w:r>
          </w:p>
        </w:tc>
        <w:tc>
          <w:tcPr>
            <w:tcW w:w="0" w:type="auto"/>
            <w:vAlign w:val="center"/>
          </w:tcPr>
          <w:p w:rsidR="008C514E" w:rsidRDefault="00816193">
            <w:pPr>
              <w:jc w:val="right"/>
            </w:pPr>
            <w:r>
              <w:rPr>
                <w:rFonts w:eastAsiaTheme="minorEastAsia"/>
                <w:color w:val="000000" w:themeColor="text1"/>
                <w:sz w:val="24"/>
              </w:rPr>
              <w:t>450</w:t>
            </w:r>
          </w:p>
        </w:tc>
        <w:tc>
          <w:tcPr>
            <w:tcW w:w="0" w:type="auto"/>
            <w:vAlign w:val="center"/>
          </w:tcPr>
          <w:p w:rsidR="008C514E" w:rsidRDefault="00816193">
            <w:pPr>
              <w:jc w:val="right"/>
            </w:pPr>
            <w:r>
              <w:rPr>
                <w:rFonts w:eastAsiaTheme="minorEastAsia"/>
                <w:color w:val="000000" w:themeColor="text1"/>
                <w:sz w:val="24"/>
              </w:rPr>
              <w:t>44,999.21</w:t>
            </w:r>
          </w:p>
        </w:tc>
        <w:tc>
          <w:tcPr>
            <w:tcW w:w="0" w:type="auto"/>
            <w:vAlign w:val="center"/>
          </w:tcPr>
          <w:p w:rsidR="008C514E" w:rsidRDefault="00816193">
            <w:pPr>
              <w:jc w:val="right"/>
            </w:pPr>
            <w:r>
              <w:rPr>
                <w:rFonts w:eastAsiaTheme="minorEastAsia"/>
                <w:color w:val="000000" w:themeColor="text1"/>
                <w:sz w:val="24"/>
              </w:rPr>
              <w:t>0.02</w:t>
            </w:r>
          </w:p>
        </w:tc>
      </w:tr>
      <w:tr w:rsidR="008C514E">
        <w:tc>
          <w:tcPr>
            <w:tcW w:w="0" w:type="auto"/>
            <w:vAlign w:val="center"/>
          </w:tcPr>
          <w:p w:rsidR="008C514E" w:rsidRDefault="00816193">
            <w:pPr>
              <w:jc w:val="center"/>
            </w:pPr>
            <w:r>
              <w:rPr>
                <w:rFonts w:eastAsiaTheme="minorEastAsia"/>
                <w:color w:val="000000" w:themeColor="text1"/>
                <w:sz w:val="24"/>
              </w:rPr>
              <w:t>4</w:t>
            </w:r>
          </w:p>
        </w:tc>
        <w:tc>
          <w:tcPr>
            <w:tcW w:w="0" w:type="auto"/>
            <w:vAlign w:val="center"/>
          </w:tcPr>
          <w:p w:rsidR="008C514E" w:rsidRDefault="00816193">
            <w:pPr>
              <w:jc w:val="center"/>
            </w:pPr>
            <w:r>
              <w:rPr>
                <w:rFonts w:eastAsiaTheme="minorEastAsia"/>
                <w:color w:val="000000" w:themeColor="text1"/>
                <w:sz w:val="24"/>
              </w:rPr>
              <w:t>128086</w:t>
            </w:r>
          </w:p>
        </w:tc>
        <w:tc>
          <w:tcPr>
            <w:tcW w:w="0" w:type="auto"/>
            <w:vAlign w:val="center"/>
          </w:tcPr>
          <w:p w:rsidR="008C514E" w:rsidRDefault="00816193">
            <w:pPr>
              <w:jc w:val="center"/>
            </w:pPr>
            <w:r>
              <w:rPr>
                <w:rFonts w:eastAsiaTheme="minorEastAsia"/>
                <w:color w:val="000000" w:themeColor="text1"/>
                <w:sz w:val="24"/>
              </w:rPr>
              <w:t>国轩转债</w:t>
            </w:r>
          </w:p>
        </w:tc>
        <w:tc>
          <w:tcPr>
            <w:tcW w:w="0" w:type="auto"/>
            <w:vAlign w:val="center"/>
          </w:tcPr>
          <w:p w:rsidR="008C514E" w:rsidRDefault="00816193">
            <w:pPr>
              <w:jc w:val="right"/>
            </w:pPr>
            <w:r>
              <w:rPr>
                <w:rFonts w:eastAsiaTheme="minorEastAsia"/>
                <w:color w:val="000000" w:themeColor="text1"/>
                <w:sz w:val="24"/>
              </w:rPr>
              <w:t>350</w:t>
            </w:r>
          </w:p>
        </w:tc>
        <w:tc>
          <w:tcPr>
            <w:tcW w:w="0" w:type="auto"/>
            <w:vAlign w:val="center"/>
          </w:tcPr>
          <w:p w:rsidR="008C514E" w:rsidRDefault="00816193">
            <w:pPr>
              <w:jc w:val="right"/>
            </w:pPr>
            <w:r>
              <w:rPr>
                <w:rFonts w:eastAsiaTheme="minorEastAsia"/>
                <w:color w:val="000000" w:themeColor="text1"/>
                <w:sz w:val="24"/>
              </w:rPr>
              <w:t>34,999.39</w:t>
            </w:r>
          </w:p>
        </w:tc>
        <w:tc>
          <w:tcPr>
            <w:tcW w:w="0" w:type="auto"/>
            <w:vAlign w:val="center"/>
          </w:tcPr>
          <w:p w:rsidR="008C514E" w:rsidRDefault="00816193">
            <w:pPr>
              <w:jc w:val="right"/>
            </w:pPr>
            <w:r>
              <w:rPr>
                <w:rFonts w:eastAsiaTheme="minorEastAsia"/>
                <w:color w:val="000000" w:themeColor="text1"/>
                <w:sz w:val="24"/>
              </w:rPr>
              <w:t>0.02</w:t>
            </w:r>
          </w:p>
        </w:tc>
      </w:tr>
      <w:tr w:rsidR="008C514E">
        <w:tc>
          <w:tcPr>
            <w:tcW w:w="0" w:type="auto"/>
            <w:vAlign w:val="center"/>
          </w:tcPr>
          <w:p w:rsidR="008C514E" w:rsidRDefault="00816193">
            <w:pPr>
              <w:jc w:val="center"/>
            </w:pPr>
            <w:r>
              <w:rPr>
                <w:rFonts w:eastAsiaTheme="minorEastAsia"/>
                <w:color w:val="000000" w:themeColor="text1"/>
                <w:sz w:val="24"/>
              </w:rPr>
              <w:t>5</w:t>
            </w:r>
          </w:p>
        </w:tc>
        <w:tc>
          <w:tcPr>
            <w:tcW w:w="0" w:type="auto"/>
            <w:vAlign w:val="center"/>
          </w:tcPr>
          <w:p w:rsidR="008C514E" w:rsidRDefault="00816193">
            <w:pPr>
              <w:jc w:val="center"/>
            </w:pPr>
            <w:r>
              <w:rPr>
                <w:rFonts w:eastAsiaTheme="minorEastAsia"/>
                <w:color w:val="000000" w:themeColor="text1"/>
                <w:sz w:val="24"/>
              </w:rPr>
              <w:t>113030</w:t>
            </w:r>
          </w:p>
        </w:tc>
        <w:tc>
          <w:tcPr>
            <w:tcW w:w="0" w:type="auto"/>
            <w:vAlign w:val="center"/>
          </w:tcPr>
          <w:p w:rsidR="008C514E" w:rsidRDefault="00816193">
            <w:pPr>
              <w:jc w:val="center"/>
            </w:pPr>
            <w:r>
              <w:rPr>
                <w:rFonts w:eastAsiaTheme="minorEastAsia"/>
                <w:color w:val="000000" w:themeColor="text1"/>
                <w:sz w:val="24"/>
              </w:rPr>
              <w:t>东风转债</w:t>
            </w:r>
          </w:p>
        </w:tc>
        <w:tc>
          <w:tcPr>
            <w:tcW w:w="0" w:type="auto"/>
            <w:vAlign w:val="center"/>
          </w:tcPr>
          <w:p w:rsidR="008C514E" w:rsidRDefault="00816193">
            <w:pPr>
              <w:jc w:val="right"/>
            </w:pPr>
            <w:r>
              <w:rPr>
                <w:rFonts w:eastAsiaTheme="minorEastAsia"/>
                <w:color w:val="000000" w:themeColor="text1"/>
                <w:sz w:val="24"/>
              </w:rPr>
              <w:t>210</w:t>
            </w:r>
          </w:p>
        </w:tc>
        <w:tc>
          <w:tcPr>
            <w:tcW w:w="0" w:type="auto"/>
            <w:vAlign w:val="center"/>
          </w:tcPr>
          <w:p w:rsidR="008C514E" w:rsidRDefault="00816193">
            <w:pPr>
              <w:jc w:val="right"/>
            </w:pPr>
            <w:r>
              <w:rPr>
                <w:rFonts w:eastAsiaTheme="minorEastAsia"/>
                <w:color w:val="000000" w:themeColor="text1"/>
                <w:sz w:val="24"/>
              </w:rPr>
              <w:t>20,999.63</w:t>
            </w:r>
          </w:p>
        </w:tc>
        <w:tc>
          <w:tcPr>
            <w:tcW w:w="0" w:type="auto"/>
            <w:vAlign w:val="center"/>
          </w:tcPr>
          <w:p w:rsidR="008C514E" w:rsidRDefault="00816193">
            <w:pPr>
              <w:jc w:val="right"/>
            </w:pPr>
            <w:r>
              <w:rPr>
                <w:rFonts w:eastAsiaTheme="minorEastAsia"/>
                <w:color w:val="000000" w:themeColor="text1"/>
                <w:sz w:val="24"/>
              </w:rPr>
              <w:t>0.01</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7</w:t>
      </w:r>
      <w:r w:rsidRPr="00B34368">
        <w:rPr>
          <w:rFonts w:eastAsiaTheme="minorEastAsia" w:hAnsiTheme="minorEastAsia"/>
          <w:b/>
          <w:color w:val="000000" w:themeColor="text1"/>
          <w:kern w:val="0"/>
          <w:sz w:val="24"/>
        </w:rPr>
        <w:t xml:space="preserve">　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的前十名资产支持证券投资明细</w:t>
      </w:r>
    </w:p>
    <w:p w:rsidR="009238DB"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本基金本报告期末未持有资产支持证券。</w:t>
      </w:r>
    </w:p>
    <w:p w:rsidR="00E15FD1" w:rsidRPr="00B34368" w:rsidRDefault="00E15FD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 xml:space="preserve">5.8 </w:t>
      </w:r>
      <w:r w:rsidRPr="00B34368">
        <w:rPr>
          <w:rFonts w:eastAsiaTheme="minorEastAsia" w:hAnsiTheme="minorEastAsia"/>
          <w:b/>
          <w:bCs/>
          <w:color w:val="000000" w:themeColor="text1"/>
          <w:kern w:val="0"/>
          <w:sz w:val="24"/>
        </w:rPr>
        <w:t>报告期末按公允价值占基金资产净值比例大小排序的前五名贵金属投资明细</w:t>
      </w:r>
    </w:p>
    <w:p w:rsidR="00E15FD1" w:rsidRPr="00B34368" w:rsidRDefault="00E15FD1" w:rsidP="00B34368">
      <w:pPr>
        <w:widowControl/>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本基金本报告期末未持有贵金属。</w:t>
      </w:r>
    </w:p>
    <w:p w:rsidR="009238DB"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9238DB" w:rsidRPr="00B34368">
        <w:rPr>
          <w:rFonts w:eastAsiaTheme="minorEastAsia"/>
          <w:b/>
          <w:color w:val="000000" w:themeColor="text1"/>
          <w:kern w:val="0"/>
          <w:sz w:val="24"/>
        </w:rPr>
        <w:t>.</w:t>
      </w:r>
      <w:r w:rsidRPr="00B34368">
        <w:rPr>
          <w:rFonts w:eastAsiaTheme="minorEastAsia"/>
          <w:b/>
          <w:color w:val="000000" w:themeColor="text1"/>
          <w:kern w:val="0"/>
          <w:sz w:val="24"/>
        </w:rPr>
        <w:t>9</w:t>
      </w:r>
      <w:r w:rsidR="009238DB" w:rsidRPr="00B34368">
        <w:rPr>
          <w:rFonts w:eastAsiaTheme="minorEastAsia"/>
          <w:b/>
          <w:color w:val="000000" w:themeColor="text1"/>
          <w:kern w:val="0"/>
          <w:sz w:val="24"/>
        </w:rPr>
        <w:t xml:space="preserve"> </w:t>
      </w:r>
      <w:r w:rsidR="009238DB" w:rsidRPr="00B34368">
        <w:rPr>
          <w:rFonts w:eastAsiaTheme="minorEastAsia" w:hAnsiTheme="minorEastAsia"/>
          <w:b/>
          <w:color w:val="000000" w:themeColor="text1"/>
          <w:kern w:val="0"/>
          <w:sz w:val="24"/>
        </w:rPr>
        <w:t>报告</w:t>
      </w:r>
      <w:r w:rsidR="009238DB" w:rsidRPr="00B34368">
        <w:rPr>
          <w:rFonts w:eastAsiaTheme="minorEastAsia" w:hAnsiTheme="minorEastAsia"/>
          <w:b/>
          <w:bCs/>
          <w:color w:val="000000" w:themeColor="text1"/>
          <w:kern w:val="0"/>
          <w:sz w:val="24"/>
        </w:rPr>
        <w:t>期末</w:t>
      </w:r>
      <w:r w:rsidR="009238DB" w:rsidRPr="00B34368">
        <w:rPr>
          <w:rFonts w:eastAsiaTheme="minorEastAsia" w:hAnsiTheme="minorEastAsia"/>
          <w:b/>
          <w:color w:val="000000" w:themeColor="text1"/>
          <w:kern w:val="0"/>
          <w:sz w:val="24"/>
        </w:rPr>
        <w:t>按公允价值占基金资产净值比例大小排</w:t>
      </w:r>
      <w:r w:rsidR="006B3FDB" w:rsidRPr="00B34368">
        <w:rPr>
          <w:rFonts w:eastAsiaTheme="minorEastAsia" w:hAnsiTheme="minorEastAsia"/>
          <w:b/>
          <w:color w:val="000000" w:themeColor="text1"/>
          <w:kern w:val="0"/>
          <w:sz w:val="24"/>
        </w:rPr>
        <w:t>序</w:t>
      </w:r>
      <w:r w:rsidR="009238DB" w:rsidRPr="00B34368">
        <w:rPr>
          <w:rFonts w:eastAsiaTheme="minorEastAsia" w:hAnsiTheme="minorEastAsia"/>
          <w:b/>
          <w:color w:val="000000" w:themeColor="text1"/>
          <w:kern w:val="0"/>
          <w:sz w:val="24"/>
        </w:rPr>
        <w:t>的前五名权证投资明细</w:t>
      </w:r>
    </w:p>
    <w:p w:rsidR="001D5CD0"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本基金本报告期末未持有权证。</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sz w:val="24"/>
        </w:rPr>
      </w:pPr>
      <w:r w:rsidRPr="00B34368">
        <w:rPr>
          <w:rFonts w:eastAsiaTheme="minorEastAsia"/>
          <w:b/>
          <w:color w:val="000000" w:themeColor="text1"/>
          <w:sz w:val="24"/>
        </w:rPr>
        <w:t xml:space="preserve">5.10 </w:t>
      </w:r>
      <w:r w:rsidRPr="00B34368">
        <w:rPr>
          <w:rFonts w:eastAsiaTheme="minorEastAsia" w:hAnsiTheme="minorEastAsia"/>
          <w:b/>
          <w:color w:val="000000" w:themeColor="text1"/>
          <w:sz w:val="24"/>
        </w:rPr>
        <w:t>报告期末本基金投资的股指期货交易情况说明</w:t>
      </w:r>
    </w:p>
    <w:p w:rsidR="001D5CD0" w:rsidRPr="00B34368" w:rsidRDefault="00D27EA0" w:rsidP="00D27EA0">
      <w:pPr>
        <w:spacing w:line="360" w:lineRule="auto"/>
        <w:ind w:firstLineChars="200" w:firstLine="480"/>
        <w:rPr>
          <w:rFonts w:eastAsiaTheme="minorEastAsia"/>
          <w:color w:val="000000" w:themeColor="text1"/>
          <w:sz w:val="24"/>
        </w:rPr>
      </w:pPr>
      <w:r w:rsidRPr="00D27EA0">
        <w:rPr>
          <w:rFonts w:eastAsiaTheme="minorEastAsia"/>
          <w:color w:val="000000" w:themeColor="text1"/>
          <w:sz w:val="24"/>
        </w:rPr>
        <w:t>本基金本报告期末未投资股指期货。</w:t>
      </w:r>
    </w:p>
    <w:p w:rsidR="001D5CD0" w:rsidRPr="00B34368" w:rsidRDefault="001D5CD0" w:rsidP="00C544B8">
      <w:pPr>
        <w:adjustRightInd w:val="0"/>
        <w:snapToGrid w:val="0"/>
        <w:spacing w:beforeLines="100" w:before="312" w:line="360" w:lineRule="auto"/>
        <w:rPr>
          <w:rFonts w:eastAsiaTheme="minorEastAsia"/>
          <w:b/>
          <w:color w:val="000000" w:themeColor="text1"/>
          <w:sz w:val="24"/>
        </w:rPr>
      </w:pPr>
      <w:r w:rsidRPr="00B34368">
        <w:rPr>
          <w:rFonts w:eastAsiaTheme="minorEastAsia"/>
          <w:b/>
          <w:color w:val="000000" w:themeColor="text1"/>
          <w:sz w:val="24"/>
        </w:rPr>
        <w:t>5.11</w:t>
      </w:r>
      <w:r w:rsidRPr="00B34368">
        <w:rPr>
          <w:rFonts w:eastAsiaTheme="minorEastAsia" w:hAnsiTheme="minorEastAsia"/>
          <w:b/>
          <w:color w:val="000000" w:themeColor="text1"/>
          <w:sz w:val="24"/>
        </w:rPr>
        <w:t>报告期末本基金投资的国债期货交易情况说明</w:t>
      </w:r>
    </w:p>
    <w:p w:rsidR="00985F0E" w:rsidRDefault="00985F0E" w:rsidP="00985F0E">
      <w:pPr>
        <w:spacing w:line="360" w:lineRule="auto"/>
        <w:ind w:firstLineChars="200" w:firstLine="480"/>
      </w:pPr>
      <w:r w:rsidRPr="00DF18FE">
        <w:rPr>
          <w:color w:val="000000"/>
          <w:sz w:val="24"/>
        </w:rPr>
        <w:t>本基金本报告期末未投资国债期货。</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w:t>
      </w:r>
      <w:r w:rsidRPr="00B34368">
        <w:rPr>
          <w:rFonts w:eastAsiaTheme="minorEastAsia" w:hAnsiTheme="minorEastAsia"/>
          <w:b/>
          <w:color w:val="000000" w:themeColor="text1"/>
          <w:kern w:val="0"/>
          <w:sz w:val="24"/>
        </w:rPr>
        <w:t>投资组合报告附注</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5.12.12019</w:t>
      </w:r>
      <w:r w:rsidRPr="00B34368">
        <w:rPr>
          <w:rFonts w:eastAsiaTheme="minorEastAsia"/>
          <w:color w:val="000000" w:themeColor="text1"/>
          <w:sz w:val="24"/>
        </w:rPr>
        <w:t>年</w:t>
      </w:r>
      <w:r w:rsidRPr="00B34368">
        <w:rPr>
          <w:rFonts w:eastAsiaTheme="minorEastAsia"/>
          <w:color w:val="000000" w:themeColor="text1"/>
          <w:sz w:val="24"/>
        </w:rPr>
        <w:t>9</w:t>
      </w:r>
      <w:r w:rsidRPr="00B34368">
        <w:rPr>
          <w:rFonts w:eastAsiaTheme="minorEastAsia"/>
          <w:color w:val="000000" w:themeColor="text1"/>
          <w:sz w:val="24"/>
        </w:rPr>
        <w:t>月</w:t>
      </w:r>
      <w:r w:rsidRPr="00B34368">
        <w:rPr>
          <w:rFonts w:eastAsiaTheme="minorEastAsia"/>
          <w:color w:val="000000" w:themeColor="text1"/>
          <w:sz w:val="24"/>
        </w:rPr>
        <w:t>3</w:t>
      </w:r>
      <w:r w:rsidRPr="00B34368">
        <w:rPr>
          <w:rFonts w:eastAsiaTheme="minorEastAsia"/>
          <w:color w:val="000000" w:themeColor="text1"/>
          <w:sz w:val="24"/>
        </w:rPr>
        <w:t>日，北京银保监局对北京银行股份有限公司个人消费贷款被挪用于支付购房首付款或投资股权、个别个人商办用房贷款违反房地产调控政策、同业投资通过信托通道违规发放土地储备贷款的行为的违法违规事实，责令改正，并处罚款</w:t>
      </w:r>
      <w:r w:rsidRPr="00B34368">
        <w:rPr>
          <w:rFonts w:eastAsiaTheme="minorEastAsia"/>
          <w:color w:val="000000" w:themeColor="text1"/>
          <w:sz w:val="24"/>
        </w:rPr>
        <w:t>110</w:t>
      </w:r>
      <w:r w:rsidRPr="00B34368">
        <w:rPr>
          <w:rFonts w:eastAsiaTheme="minorEastAsia"/>
          <w:color w:val="000000" w:themeColor="text1"/>
          <w:sz w:val="24"/>
        </w:rPr>
        <w:t>万元人民币。</w:t>
      </w:r>
    </w:p>
    <w:p w:rsidR="008C514E" w:rsidRDefault="00816193">
      <w:pPr>
        <w:widowControl/>
        <w:spacing w:line="360" w:lineRule="auto"/>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日，北京银保监局对北京银行股份有限公司员工大额消费贷款违规行为长期未有效整改、同业业务专营部门制改革不到位、同业投资违规接受第三方金融机构信用担保的违法违规事实，责令改正，并给予合计</w:t>
      </w:r>
      <w:r>
        <w:rPr>
          <w:rFonts w:eastAsiaTheme="minorEastAsia"/>
          <w:color w:val="000000" w:themeColor="text1"/>
          <w:sz w:val="24"/>
        </w:rPr>
        <w:t>100</w:t>
      </w:r>
      <w:r>
        <w:rPr>
          <w:rFonts w:eastAsiaTheme="minorEastAsia"/>
          <w:color w:val="000000" w:themeColor="text1"/>
          <w:sz w:val="24"/>
        </w:rPr>
        <w:t>万元罚款的行政处罚。</w:t>
      </w:r>
    </w:p>
    <w:p w:rsidR="008C514E" w:rsidRDefault="00816193">
      <w:pPr>
        <w:widowControl/>
        <w:spacing w:line="360" w:lineRule="auto"/>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中国银行保险监督管理委员会江苏监管局针对江苏银行股份有限公司未按业务实质准确计量风险资产；理财产品之间未能实现相分离；理财投资非标资产未严格比照自营贷款管理，对授信资金未按约定用途使用监督不力的违法违规事实，对江苏银行股份有限公司处以人民币</w:t>
      </w:r>
      <w:r>
        <w:rPr>
          <w:rFonts w:eastAsiaTheme="minorEastAsia"/>
          <w:color w:val="000000" w:themeColor="text1"/>
          <w:sz w:val="24"/>
        </w:rPr>
        <w:t>90</w:t>
      </w:r>
      <w:r>
        <w:rPr>
          <w:rFonts w:eastAsiaTheme="minorEastAsia"/>
          <w:color w:val="000000" w:themeColor="text1"/>
          <w:sz w:val="24"/>
        </w:rPr>
        <w:t>万元行政罚款。</w:t>
      </w:r>
    </w:p>
    <w:p w:rsidR="008C514E" w:rsidRDefault="00816193">
      <w:pPr>
        <w:widowControl/>
        <w:spacing w:line="360" w:lineRule="auto"/>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8</w:t>
      </w:r>
      <w:r>
        <w:rPr>
          <w:rFonts w:eastAsiaTheme="minorEastAsia"/>
          <w:color w:val="000000" w:themeColor="text1"/>
          <w:sz w:val="24"/>
        </w:rPr>
        <w:t>日，中国银行保险监督管理委员会上海监管局对上海银行股份有限公司信用卡中心</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月在为部分客户办理信用卡业务时，未遵守总授信额度管理制度的违法违规事实，责令改正，并处罚款</w:t>
      </w:r>
      <w:r>
        <w:rPr>
          <w:rFonts w:eastAsiaTheme="minorEastAsia"/>
          <w:color w:val="000000" w:themeColor="text1"/>
          <w:sz w:val="24"/>
        </w:rPr>
        <w:t>40</w:t>
      </w:r>
      <w:r>
        <w:rPr>
          <w:rFonts w:eastAsiaTheme="minorEastAsia"/>
          <w:color w:val="000000" w:themeColor="text1"/>
          <w:sz w:val="24"/>
        </w:rPr>
        <w:t>万元。</w:t>
      </w:r>
    </w:p>
    <w:p w:rsidR="008C514E" w:rsidRDefault="00816193">
      <w:pPr>
        <w:widowControl/>
        <w:spacing w:line="360" w:lineRule="auto"/>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w:t>
      </w:r>
      <w:r>
        <w:rPr>
          <w:rFonts w:eastAsiaTheme="minorEastAsia"/>
          <w:color w:val="000000" w:themeColor="text1"/>
          <w:sz w:val="24"/>
        </w:rPr>
        <w:t>2</w:t>
      </w:r>
      <w:r>
        <w:rPr>
          <w:rFonts w:eastAsiaTheme="minorEastAsia"/>
          <w:color w:val="000000" w:themeColor="text1"/>
          <w:sz w:val="24"/>
        </w:rPr>
        <w:t>日，中国人民银行上海分行对上海银行股份有限公司违反支付业务规定的行为，没收违法所得</w:t>
      </w:r>
      <w:r>
        <w:rPr>
          <w:rFonts w:eastAsiaTheme="minorEastAsia"/>
          <w:color w:val="000000" w:themeColor="text1"/>
          <w:sz w:val="24"/>
        </w:rPr>
        <w:t>1,762,787.61</w:t>
      </w:r>
      <w:r>
        <w:rPr>
          <w:rFonts w:eastAsiaTheme="minorEastAsia"/>
          <w:color w:val="000000" w:themeColor="text1"/>
          <w:sz w:val="24"/>
        </w:rPr>
        <w:t>元，并处以</w:t>
      </w:r>
      <w:r>
        <w:rPr>
          <w:rFonts w:eastAsiaTheme="minorEastAsia"/>
          <w:color w:val="000000" w:themeColor="text1"/>
          <w:sz w:val="24"/>
        </w:rPr>
        <w:t>1,762,787.61</w:t>
      </w:r>
      <w:r>
        <w:rPr>
          <w:rFonts w:eastAsiaTheme="minorEastAsia"/>
          <w:color w:val="000000" w:themeColor="text1"/>
          <w:sz w:val="24"/>
        </w:rPr>
        <w:t>元罚款，共计</w:t>
      </w:r>
      <w:r>
        <w:rPr>
          <w:rFonts w:eastAsiaTheme="minorEastAsia"/>
          <w:color w:val="000000" w:themeColor="text1"/>
          <w:sz w:val="24"/>
        </w:rPr>
        <w:t>3,525,575.22</w:t>
      </w:r>
      <w:r>
        <w:rPr>
          <w:rFonts w:eastAsiaTheme="minorEastAsia"/>
          <w:color w:val="000000" w:themeColor="text1"/>
          <w:sz w:val="24"/>
        </w:rPr>
        <w:t>元，同时对相关高级管理人员作出处罚。</w:t>
      </w:r>
    </w:p>
    <w:p w:rsidR="008C514E" w:rsidRDefault="00816193">
      <w:pPr>
        <w:widowControl/>
        <w:spacing w:line="360" w:lineRule="auto"/>
        <w:rPr>
          <w:rFonts w:eastAsiaTheme="minorEastAsia"/>
          <w:color w:val="000000" w:themeColor="text1"/>
          <w:sz w:val="24"/>
        </w:rPr>
      </w:pPr>
      <w:r>
        <w:rPr>
          <w:rFonts w:eastAsiaTheme="minorEastAsia"/>
          <w:color w:val="000000" w:themeColor="text1"/>
          <w:sz w:val="24"/>
        </w:rPr>
        <w:t>本基金为目标</w:t>
      </w:r>
      <w:r>
        <w:rPr>
          <w:rFonts w:eastAsiaTheme="minorEastAsia"/>
          <w:color w:val="000000" w:themeColor="text1"/>
          <w:sz w:val="24"/>
        </w:rPr>
        <w:t>ETF</w:t>
      </w:r>
      <w:r>
        <w:rPr>
          <w:rFonts w:eastAsiaTheme="minorEastAsia"/>
          <w:color w:val="000000" w:themeColor="text1"/>
          <w:sz w:val="24"/>
        </w:rPr>
        <w:t>的联接基金，上述股票系标的指数成份股，上述股票的投资决策程序</w:t>
      </w:r>
      <w:r>
        <w:rPr>
          <w:rFonts w:eastAsiaTheme="minorEastAsia"/>
          <w:color w:val="000000" w:themeColor="text1"/>
          <w:sz w:val="24"/>
        </w:rPr>
        <w:t>符合公司投资制度的规定。除上海银行、江苏银行、北京银行外，本基金目标</w:t>
      </w:r>
      <w:r>
        <w:rPr>
          <w:rFonts w:eastAsiaTheme="minorEastAsia"/>
          <w:color w:val="000000" w:themeColor="text1"/>
          <w:sz w:val="24"/>
        </w:rPr>
        <w:t>ETF</w:t>
      </w:r>
      <w:r>
        <w:rPr>
          <w:rFonts w:eastAsiaTheme="minorEastAsia"/>
          <w:color w:val="000000" w:themeColor="text1"/>
          <w:sz w:val="24"/>
        </w:rPr>
        <w:t>投资的前十名证券的发行主体本期没有出现被监管部门立案调查，或在报告编制日前一年内受到公开谴责、处罚的情形。本基金投资的前十名证券的发行主体本期没有出现被监管部门立案调查，或在报告编制日前一年内受到公开谴责、处罚的情形。</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5.12.2</w:t>
      </w:r>
      <w:r w:rsidRPr="00B34368">
        <w:rPr>
          <w:rFonts w:eastAsiaTheme="minorEastAsia"/>
          <w:color w:val="000000" w:themeColor="text1"/>
          <w:sz w:val="24"/>
        </w:rPr>
        <w:t>本基金本报告期末未持有股票。</w:t>
      </w:r>
    </w:p>
    <w:p w:rsidR="001D5CD0" w:rsidRPr="00B34368" w:rsidRDefault="001D5CD0" w:rsidP="001D5CD0">
      <w:pPr>
        <w:autoSpaceDE w:val="0"/>
        <w:autoSpaceDN w:val="0"/>
        <w:adjustRightInd w:val="0"/>
        <w:spacing w:line="360" w:lineRule="auto"/>
        <w:rPr>
          <w:rFonts w:eastAsiaTheme="minorEastAsia"/>
          <w:b/>
          <w:color w:val="000000" w:themeColor="text1"/>
          <w:kern w:val="0"/>
          <w:sz w:val="24"/>
        </w:rPr>
      </w:pPr>
      <w:r w:rsidRPr="00B34368">
        <w:rPr>
          <w:rFonts w:eastAsiaTheme="minorEastAsia"/>
          <w:b/>
          <w:color w:val="000000" w:themeColor="text1"/>
          <w:kern w:val="0"/>
          <w:sz w:val="24"/>
        </w:rPr>
        <w:t>5.12.3</w:t>
      </w:r>
      <w:r w:rsidRPr="00B34368">
        <w:rPr>
          <w:rFonts w:eastAsiaTheme="minorEastAsia" w:hAnsiTheme="minorEastAsia"/>
          <w:b/>
          <w:color w:val="000000" w:themeColor="text1"/>
          <w:kern w:val="0"/>
          <w:sz w:val="24"/>
        </w:rPr>
        <w:t>其他各项资产构成</w:t>
      </w:r>
    </w:p>
    <w:tbl>
      <w:tblPr>
        <w:tblStyle w:val="af2"/>
        <w:tblW w:w="0" w:type="auto"/>
        <w:tblInd w:w="108" w:type="dxa"/>
        <w:tblLook w:val="04A0" w:firstRow="1" w:lastRow="0" w:firstColumn="1" w:lastColumn="0" w:noHBand="0" w:noVBand="1"/>
      </w:tblPr>
      <w:tblGrid>
        <w:gridCol w:w="1235"/>
        <w:gridCol w:w="2761"/>
        <w:gridCol w:w="4808"/>
      </w:tblGrid>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2761"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名称</w:t>
            </w:r>
          </w:p>
        </w:tc>
        <w:tc>
          <w:tcPr>
            <w:tcW w:w="4808"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金额</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color w:val="000000" w:themeColor="text1"/>
                <w:sz w:val="24"/>
              </w:rPr>
              <w:t>1</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存出保证金</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9,539.26</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2</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应收证券清算款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3</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应收股利</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4</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应收利息</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2,417.45</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5</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应收申购款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466,652.08</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6</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其他应收款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7</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sz w:val="24"/>
              </w:rPr>
            </w:pPr>
            <w:r w:rsidRPr="00B34368">
              <w:rPr>
                <w:rFonts w:eastAsiaTheme="minorEastAsia" w:hAnsiTheme="minorEastAsia"/>
                <w:color w:val="000000" w:themeColor="text1"/>
                <w:sz w:val="24"/>
              </w:rPr>
              <w:t>待摊费用</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8</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9</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合计</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478,608.79</w:t>
            </w:r>
          </w:p>
        </w:tc>
      </w:tr>
    </w:tbl>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5.12.4</w:t>
      </w:r>
      <w:r w:rsidRPr="00B34368">
        <w:rPr>
          <w:rFonts w:eastAsiaTheme="minorEastAsia" w:hAnsiTheme="minorEastAsia"/>
          <w:b/>
          <w:color w:val="000000" w:themeColor="text1"/>
          <w:kern w:val="0"/>
          <w:sz w:val="24"/>
        </w:rPr>
        <w:t>报告期末持有的处于转股期的可转换债券明细</w:t>
      </w:r>
    </w:p>
    <w:p w:rsidR="001D5CD0" w:rsidRPr="00B34368" w:rsidRDefault="001D5CD0"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本基金本报告期末未持有处于转股期的可转换债券。</w:t>
      </w:r>
    </w:p>
    <w:p w:rsidR="001D5CD0" w:rsidRPr="00B34368" w:rsidRDefault="001D5CD0" w:rsidP="00C544B8">
      <w:pPr>
        <w:autoSpaceDE w:val="0"/>
        <w:autoSpaceDN w:val="0"/>
        <w:adjustRightInd w:val="0"/>
        <w:spacing w:beforeLines="100" w:before="312" w:line="360" w:lineRule="auto"/>
        <w:jc w:val="left"/>
        <w:rPr>
          <w:rFonts w:eastAsiaTheme="minorEastAsia"/>
          <w:b/>
          <w:bCs/>
          <w:color w:val="000000" w:themeColor="text1"/>
          <w:sz w:val="24"/>
        </w:rPr>
      </w:pPr>
      <w:r w:rsidRPr="00B34368">
        <w:rPr>
          <w:rFonts w:eastAsiaTheme="minorEastAsia"/>
          <w:b/>
          <w:color w:val="000000" w:themeColor="text1"/>
          <w:kern w:val="0"/>
          <w:sz w:val="24"/>
        </w:rPr>
        <w:t>5.12.5</w:t>
      </w:r>
      <w:r w:rsidRPr="00B34368">
        <w:rPr>
          <w:rFonts w:eastAsiaTheme="minorEastAsia" w:hAnsiTheme="minorEastAsia"/>
          <w:b/>
          <w:bCs/>
          <w:color w:val="000000" w:themeColor="text1"/>
          <w:sz w:val="24"/>
        </w:rPr>
        <w:t>报告期末前十名股票中存在流通受限情况的说明</w:t>
      </w:r>
    </w:p>
    <w:p w:rsidR="001D5CD0" w:rsidRPr="00B34368" w:rsidRDefault="001D5CD0"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本基金本报告期末未持有股票。</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§6  </w:t>
      </w:r>
      <w:r w:rsidRPr="00B34368">
        <w:rPr>
          <w:rFonts w:eastAsiaTheme="minorEastAsia" w:hAnsiTheme="minorEastAsia"/>
          <w:color w:val="000000" w:themeColor="text1"/>
          <w:kern w:val="0"/>
          <w:sz w:val="24"/>
          <w:szCs w:val="24"/>
        </w:rPr>
        <w:t>开放式基金份额变动</w:t>
      </w:r>
    </w:p>
    <w:p w:rsidR="009238DB" w:rsidRPr="00B34368" w:rsidRDefault="009238DB" w:rsidP="00302187">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900"/>
        <w:gridCol w:w="2367"/>
        <w:gridCol w:w="2367"/>
      </w:tblGrid>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B84643">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易方达上证中盘</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155,440,995.86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3,803,083.48</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本报告期</w:t>
            </w:r>
            <w:r w:rsidR="00936D40" w:rsidRPr="00B34368">
              <w:rPr>
                <w:rFonts w:eastAsiaTheme="minorEastAsia" w:hAnsiTheme="minorEastAsia"/>
                <w:color w:val="000000" w:themeColor="text1"/>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6,529,586.91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3,813,958.00</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减：</w:t>
            </w:r>
            <w:r w:rsidR="00F72579" w:rsidRPr="00B34368">
              <w:rPr>
                <w:rFonts w:eastAsiaTheme="minorEastAsia"/>
                <w:color w:val="000000" w:themeColor="text1"/>
                <w:kern w:val="0"/>
                <w:sz w:val="24"/>
              </w:rPr>
              <w:t>本报告期</w:t>
            </w:r>
            <w:r w:rsidRPr="00B34368">
              <w:rPr>
                <w:rFonts w:eastAsiaTheme="minorEastAsia" w:hAnsiTheme="minorEastAsia"/>
                <w:color w:val="000000" w:themeColor="text1"/>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16,637,110.38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4,686,137.10</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本报告期</w:t>
            </w:r>
            <w:r w:rsidR="00936D40" w:rsidRPr="00B34368">
              <w:rPr>
                <w:rFonts w:eastAsiaTheme="minorEastAsia" w:hAnsiTheme="minorEastAsia"/>
                <w:color w:val="000000" w:themeColor="text1"/>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B57BCF">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145,333,472.39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2,930,904.38</w:t>
            </w:r>
          </w:p>
        </w:tc>
      </w:tr>
    </w:tbl>
    <w:p w:rsidR="00617125" w:rsidRPr="00B34368" w:rsidRDefault="00617125" w:rsidP="00C544B8">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B34368">
        <w:rPr>
          <w:rFonts w:eastAsiaTheme="minorEastAsia"/>
          <w:color w:val="000000" w:themeColor="text1"/>
          <w:kern w:val="0"/>
          <w:sz w:val="24"/>
          <w:szCs w:val="24"/>
        </w:rPr>
        <w:t>§7</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sz w:val="24"/>
          <w:szCs w:val="24"/>
        </w:rPr>
        <w:t>基金管理人运用固有资金投资本基金情况</w:t>
      </w:r>
    </w:p>
    <w:p w:rsidR="00617125" w:rsidRPr="00B34368" w:rsidRDefault="00617125" w:rsidP="00617125">
      <w:pPr>
        <w:spacing w:line="360" w:lineRule="auto"/>
        <w:jc w:val="left"/>
        <w:rPr>
          <w:rFonts w:eastAsiaTheme="minorEastAsia"/>
          <w:color w:val="000000" w:themeColor="text1"/>
          <w:sz w:val="24"/>
        </w:rPr>
      </w:pPr>
      <w:r w:rsidRPr="00B34368">
        <w:rPr>
          <w:rFonts w:eastAsiaTheme="minorEastAsia"/>
          <w:b/>
          <w:color w:val="000000" w:themeColor="text1"/>
          <w:sz w:val="24"/>
        </w:rPr>
        <w:t xml:space="preserve">7.1 </w:t>
      </w:r>
      <w:r w:rsidRPr="00B34368">
        <w:rPr>
          <w:rFonts w:eastAsiaTheme="minorEastAsia" w:hAnsiTheme="minorEastAsia"/>
          <w:b/>
          <w:color w:val="000000" w:themeColor="text1"/>
          <w:sz w:val="24"/>
        </w:rPr>
        <w:t>基金管理人持有本基金份额变动情况</w:t>
      </w:r>
    </w:p>
    <w:p w:rsidR="00617125" w:rsidRPr="00B34368" w:rsidRDefault="00A01C74" w:rsidP="00B34368">
      <w:pPr>
        <w:autoSpaceDE w:val="0"/>
        <w:autoSpaceDN w:val="0"/>
        <w:adjustRightInd w:val="0"/>
        <w:spacing w:line="360" w:lineRule="auto"/>
        <w:ind w:firstLineChars="200" w:firstLine="480"/>
        <w:jc w:val="left"/>
        <w:rPr>
          <w:rFonts w:eastAsiaTheme="minorEastAsia"/>
          <w:color w:val="000000" w:themeColor="text1"/>
          <w:sz w:val="24"/>
        </w:rPr>
      </w:pPr>
      <w:r w:rsidRPr="00DF18FE">
        <w:rPr>
          <w:color w:val="000000"/>
          <w:sz w:val="24"/>
        </w:rPr>
        <w:t>本报告期内基金管理人未持有本基金份额。</w:t>
      </w:r>
    </w:p>
    <w:p w:rsidR="00617125" w:rsidRPr="00B34368" w:rsidRDefault="00617125" w:rsidP="00C544B8">
      <w:pPr>
        <w:spacing w:beforeLines="100" w:before="312" w:line="360" w:lineRule="auto"/>
        <w:jc w:val="left"/>
        <w:rPr>
          <w:rFonts w:eastAsiaTheme="minorEastAsia"/>
          <w:color w:val="000000" w:themeColor="text1"/>
          <w:sz w:val="24"/>
        </w:rPr>
      </w:pPr>
      <w:r w:rsidRPr="00B34368">
        <w:rPr>
          <w:rFonts w:eastAsiaTheme="minorEastAsia"/>
          <w:b/>
          <w:color w:val="000000" w:themeColor="text1"/>
          <w:sz w:val="24"/>
        </w:rPr>
        <w:t xml:space="preserve">7.2 </w:t>
      </w:r>
      <w:r w:rsidRPr="00B34368">
        <w:rPr>
          <w:rFonts w:eastAsiaTheme="minorEastAsia" w:hAnsiTheme="minorEastAsia"/>
          <w:b/>
          <w:color w:val="000000" w:themeColor="text1"/>
          <w:sz w:val="24"/>
        </w:rPr>
        <w:t>基金管理人运用固有资金投资本基金交易明细</w:t>
      </w:r>
    </w:p>
    <w:p w:rsidR="00617125" w:rsidRPr="00B34368" w:rsidRDefault="00617125"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本报告期内基金管理人未运用固有资金申购、赎回、买卖本基金份额。</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w:t>
      </w:r>
      <w:r w:rsidR="00A14399" w:rsidRPr="00B34368">
        <w:rPr>
          <w:rFonts w:eastAsiaTheme="minorEastAsia"/>
          <w:color w:val="000000" w:themeColor="text1"/>
          <w:kern w:val="0"/>
          <w:sz w:val="24"/>
          <w:szCs w:val="24"/>
        </w:rPr>
        <w:t>8</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kern w:val="0"/>
          <w:sz w:val="24"/>
          <w:szCs w:val="24"/>
        </w:rPr>
        <w:t>备查文件目录</w:t>
      </w:r>
    </w:p>
    <w:p w:rsidR="00FB3C94" w:rsidRPr="00B34368" w:rsidRDefault="00A14399" w:rsidP="00FC13C8">
      <w:pPr>
        <w:autoSpaceDE w:val="0"/>
        <w:autoSpaceDN w:val="0"/>
        <w:adjustRightInd w:val="0"/>
        <w:spacing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w:t>
      </w:r>
      <w:r w:rsidR="00D13A01" w:rsidRPr="00B34368">
        <w:rPr>
          <w:rFonts w:eastAsiaTheme="minorEastAsia"/>
          <w:b/>
          <w:bCs/>
          <w:color w:val="000000" w:themeColor="text1"/>
          <w:kern w:val="0"/>
          <w:sz w:val="24"/>
        </w:rPr>
        <w:t>1</w:t>
      </w:r>
      <w:r w:rsidR="00FB3C94" w:rsidRPr="00B34368">
        <w:rPr>
          <w:rFonts w:eastAsiaTheme="minorEastAsia" w:hAnsiTheme="minorEastAsia"/>
          <w:b/>
          <w:bCs/>
          <w:color w:val="000000" w:themeColor="text1"/>
          <w:kern w:val="0"/>
          <w:sz w:val="24"/>
        </w:rPr>
        <w:t>备查文件目录</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中国证监会核准易方达上证中盘交易型开放式指数证券投资基金联接基金募集的文件；</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《易方达上证中盘交易型开放式指数证券投资基金联接基金基金合同》；</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《易方达基金管理有限公司开放式基金业务规则》；</w:t>
      </w:r>
    </w:p>
    <w:p w:rsidR="008C514E" w:rsidRDefault="00816193">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《易方达上证中盘交易型开放式指数证券投资基金联接基金托管协议》；</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5.</w:t>
      </w:r>
      <w:r w:rsidRPr="00B34368">
        <w:rPr>
          <w:rFonts w:eastAsiaTheme="minorEastAsia"/>
          <w:color w:val="000000" w:themeColor="text1"/>
          <w:sz w:val="24"/>
        </w:rPr>
        <w:t>基金管理人业务资格批件和营业执照。</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8.2</w:t>
      </w:r>
      <w:r w:rsidR="00FB3C94" w:rsidRPr="00B34368">
        <w:rPr>
          <w:rFonts w:eastAsiaTheme="minorEastAsia" w:hAnsiTheme="minorEastAsia"/>
          <w:b/>
          <w:bCs/>
          <w:color w:val="000000" w:themeColor="text1"/>
          <w:kern w:val="0"/>
          <w:sz w:val="24"/>
        </w:rPr>
        <w:t>存放地点</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广州市天河区珠江新城珠江东路</w:t>
      </w:r>
      <w:r w:rsidRPr="00B34368">
        <w:rPr>
          <w:rFonts w:eastAsiaTheme="minorEastAsia"/>
          <w:color w:val="000000" w:themeColor="text1"/>
          <w:sz w:val="24"/>
        </w:rPr>
        <w:t>30</w:t>
      </w:r>
      <w:r w:rsidRPr="00B34368">
        <w:rPr>
          <w:rFonts w:eastAsiaTheme="minorEastAsia"/>
          <w:color w:val="000000" w:themeColor="text1"/>
          <w:sz w:val="24"/>
        </w:rPr>
        <w:t>号广州银行大厦</w:t>
      </w:r>
      <w:r w:rsidRPr="00B34368">
        <w:rPr>
          <w:rFonts w:eastAsiaTheme="minorEastAsia"/>
          <w:color w:val="000000" w:themeColor="text1"/>
          <w:sz w:val="24"/>
        </w:rPr>
        <w:t>40-43</w:t>
      </w:r>
      <w:r w:rsidRPr="00B34368">
        <w:rPr>
          <w:rFonts w:eastAsiaTheme="minorEastAsia"/>
          <w:color w:val="000000" w:themeColor="text1"/>
          <w:sz w:val="24"/>
        </w:rPr>
        <w:t>楼。</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8.3</w:t>
      </w:r>
      <w:r w:rsidR="00FB3C94" w:rsidRPr="00B34368">
        <w:rPr>
          <w:rFonts w:eastAsiaTheme="minorEastAsia" w:hAnsiTheme="minorEastAsia"/>
          <w:b/>
          <w:bCs/>
          <w:color w:val="000000" w:themeColor="text1"/>
          <w:kern w:val="0"/>
          <w:sz w:val="24"/>
        </w:rPr>
        <w:t>查阅方式</w:t>
      </w:r>
    </w:p>
    <w:p w:rsidR="00FB3C94"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投资者可在营业时间免费查阅，也可按工本费购买复印件。</w:t>
      </w:r>
    </w:p>
    <w:p w:rsidR="00FB3C94" w:rsidRPr="00B34368" w:rsidRDefault="00FB3C94" w:rsidP="00FB3C94">
      <w:pPr>
        <w:spacing w:line="360" w:lineRule="auto"/>
        <w:ind w:left="840"/>
        <w:jc w:val="right"/>
        <w:rPr>
          <w:rFonts w:eastAsiaTheme="minorEastAsia"/>
          <w:color w:val="000000" w:themeColor="text1"/>
          <w:sz w:val="24"/>
        </w:rPr>
      </w:pPr>
    </w:p>
    <w:p w:rsidR="00AF3AF9" w:rsidRPr="00B34368" w:rsidRDefault="00AF3AF9" w:rsidP="00053FFD">
      <w:pPr>
        <w:spacing w:line="360" w:lineRule="auto"/>
        <w:ind w:left="840"/>
        <w:jc w:val="center"/>
        <w:rPr>
          <w:rFonts w:eastAsiaTheme="minorEastAsia"/>
          <w:b/>
          <w:color w:val="000000" w:themeColor="text1"/>
          <w:sz w:val="24"/>
        </w:rPr>
      </w:pPr>
    </w:p>
    <w:p w:rsidR="00FB3C94" w:rsidRPr="00B34368" w:rsidRDefault="00FB3C94"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易方达基金管理有限公司</w:t>
      </w:r>
    </w:p>
    <w:p w:rsidR="009238DB" w:rsidRPr="00B34368" w:rsidRDefault="00D04410"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二〇二〇年一月十八日</w:t>
      </w:r>
    </w:p>
    <w:sectPr w:rsidR="009238DB" w:rsidRPr="00B34368"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E5" w:rsidRDefault="005142E5">
      <w:r>
        <w:separator/>
      </w:r>
    </w:p>
  </w:endnote>
  <w:endnote w:type="continuationSeparator" w:id="0">
    <w:p w:rsidR="005142E5" w:rsidRDefault="0051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EA55D2">
      <w:rPr>
        <w:kern w:val="0"/>
        <w:szCs w:val="21"/>
      </w:rPr>
      <w:fldChar w:fldCharType="begin"/>
    </w:r>
    <w:r>
      <w:rPr>
        <w:kern w:val="0"/>
        <w:szCs w:val="21"/>
      </w:rPr>
      <w:instrText xml:space="preserve"> PAGE </w:instrText>
    </w:r>
    <w:r w:rsidR="00EA55D2">
      <w:rPr>
        <w:kern w:val="0"/>
        <w:szCs w:val="21"/>
      </w:rPr>
      <w:fldChar w:fldCharType="separate"/>
    </w:r>
    <w:r w:rsidR="00816193">
      <w:rPr>
        <w:noProof/>
        <w:kern w:val="0"/>
        <w:szCs w:val="21"/>
      </w:rPr>
      <w:t>1</w:t>
    </w:r>
    <w:r w:rsidR="00EA55D2">
      <w:rPr>
        <w:kern w:val="0"/>
        <w:szCs w:val="21"/>
      </w:rPr>
      <w:fldChar w:fldCharType="end"/>
    </w:r>
    <w:r>
      <w:rPr>
        <w:rFonts w:hint="eastAsia"/>
        <w:kern w:val="0"/>
        <w:szCs w:val="21"/>
      </w:rPr>
      <w:t>页共</w:t>
    </w:r>
    <w:r w:rsidR="00EA55D2">
      <w:rPr>
        <w:kern w:val="0"/>
        <w:szCs w:val="21"/>
      </w:rPr>
      <w:fldChar w:fldCharType="begin"/>
    </w:r>
    <w:r>
      <w:rPr>
        <w:kern w:val="0"/>
        <w:szCs w:val="21"/>
      </w:rPr>
      <w:instrText xml:space="preserve"> NUMPAGES </w:instrText>
    </w:r>
    <w:r w:rsidR="00EA55D2">
      <w:rPr>
        <w:kern w:val="0"/>
        <w:szCs w:val="21"/>
      </w:rPr>
      <w:fldChar w:fldCharType="separate"/>
    </w:r>
    <w:r w:rsidR="00816193">
      <w:rPr>
        <w:noProof/>
        <w:kern w:val="0"/>
        <w:szCs w:val="21"/>
      </w:rPr>
      <w:t>1</w:t>
    </w:r>
    <w:r w:rsidR="00EA55D2">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separate"/>
    </w:r>
    <w:r w:rsidR="00816193">
      <w:rPr>
        <w:rStyle w:val="a7"/>
        <w:noProof/>
      </w:rPr>
      <w:t>2</w: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E5" w:rsidRDefault="005142E5">
      <w:r>
        <w:separator/>
      </w:r>
    </w:p>
  </w:footnote>
  <w:footnote w:type="continuationSeparator" w:id="0">
    <w:p w:rsidR="005142E5" w:rsidRDefault="00514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7C1122" w:rsidP="001207F2">
    <w:pPr>
      <w:pStyle w:val="a9"/>
      <w:pBdr>
        <w:bottom w:val="single" w:sz="6" w:space="0" w:color="auto"/>
      </w:pBdr>
      <w:jc w:val="right"/>
    </w:pPr>
    <w:r>
      <w:rPr>
        <w:sz w:val="21"/>
        <w:szCs w:val="21"/>
      </w:rPr>
      <w:t>易方达上证中盘交易型开放式指数证券投资基金联接基金</w:t>
    </w:r>
    <w:r>
      <w:rPr>
        <w:sz w:val="21"/>
        <w:szCs w:val="21"/>
      </w:rPr>
      <w:t>2019</w:t>
    </w:r>
    <w:r>
      <w:rPr>
        <w:sz w:val="21"/>
        <w:szCs w:val="21"/>
      </w:rPr>
      <w:t>年第</w:t>
    </w:r>
    <w:r>
      <w:rPr>
        <w:sz w:val="21"/>
        <w:szCs w:val="21"/>
      </w:rPr>
      <w:t>4</w:t>
    </w:r>
    <w:r>
      <w:rPr>
        <w:sz w:val="21"/>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2791"/>
    <w:rsid w:val="0000403B"/>
    <w:rsid w:val="00007441"/>
    <w:rsid w:val="00007F1F"/>
    <w:rsid w:val="00010A83"/>
    <w:rsid w:val="000137C1"/>
    <w:rsid w:val="000142F4"/>
    <w:rsid w:val="00014851"/>
    <w:rsid w:val="0001579C"/>
    <w:rsid w:val="00016551"/>
    <w:rsid w:val="00016934"/>
    <w:rsid w:val="00020737"/>
    <w:rsid w:val="00020C27"/>
    <w:rsid w:val="000219D5"/>
    <w:rsid w:val="00022396"/>
    <w:rsid w:val="00023073"/>
    <w:rsid w:val="00023B97"/>
    <w:rsid w:val="00024836"/>
    <w:rsid w:val="00024FB8"/>
    <w:rsid w:val="000252D8"/>
    <w:rsid w:val="0003564A"/>
    <w:rsid w:val="00035B0C"/>
    <w:rsid w:val="00042065"/>
    <w:rsid w:val="00043FD2"/>
    <w:rsid w:val="00045BA9"/>
    <w:rsid w:val="00047D87"/>
    <w:rsid w:val="000510AB"/>
    <w:rsid w:val="00053FFD"/>
    <w:rsid w:val="00056D5C"/>
    <w:rsid w:val="00057507"/>
    <w:rsid w:val="00061B0B"/>
    <w:rsid w:val="00061E09"/>
    <w:rsid w:val="00062C69"/>
    <w:rsid w:val="00062DC5"/>
    <w:rsid w:val="00062E1F"/>
    <w:rsid w:val="00064601"/>
    <w:rsid w:val="00064AE3"/>
    <w:rsid w:val="0006750A"/>
    <w:rsid w:val="00075E4E"/>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1D"/>
    <w:rsid w:val="000C757F"/>
    <w:rsid w:val="000C7DD4"/>
    <w:rsid w:val="000D1164"/>
    <w:rsid w:val="000D1BBE"/>
    <w:rsid w:val="000D3773"/>
    <w:rsid w:val="000D4DE9"/>
    <w:rsid w:val="000D53FB"/>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0862"/>
    <w:rsid w:val="00121533"/>
    <w:rsid w:val="00121F00"/>
    <w:rsid w:val="0012304E"/>
    <w:rsid w:val="00123051"/>
    <w:rsid w:val="001257C7"/>
    <w:rsid w:val="00125E66"/>
    <w:rsid w:val="00126AC0"/>
    <w:rsid w:val="00126C2B"/>
    <w:rsid w:val="00127A01"/>
    <w:rsid w:val="00130D77"/>
    <w:rsid w:val="00131EF6"/>
    <w:rsid w:val="0013251D"/>
    <w:rsid w:val="00134734"/>
    <w:rsid w:val="00134CBE"/>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12"/>
    <w:rsid w:val="00176874"/>
    <w:rsid w:val="0017725A"/>
    <w:rsid w:val="0018052A"/>
    <w:rsid w:val="00180952"/>
    <w:rsid w:val="0018191A"/>
    <w:rsid w:val="001837D3"/>
    <w:rsid w:val="001857CB"/>
    <w:rsid w:val="00185B68"/>
    <w:rsid w:val="00186199"/>
    <w:rsid w:val="00194155"/>
    <w:rsid w:val="001A0417"/>
    <w:rsid w:val="001A0B71"/>
    <w:rsid w:val="001A1389"/>
    <w:rsid w:val="001A3016"/>
    <w:rsid w:val="001A3914"/>
    <w:rsid w:val="001A5FA6"/>
    <w:rsid w:val="001A78CC"/>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164B5"/>
    <w:rsid w:val="00221938"/>
    <w:rsid w:val="00222262"/>
    <w:rsid w:val="002230A8"/>
    <w:rsid w:val="00225E1C"/>
    <w:rsid w:val="00227D20"/>
    <w:rsid w:val="00231BCE"/>
    <w:rsid w:val="00233CFB"/>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2F7889"/>
    <w:rsid w:val="00302187"/>
    <w:rsid w:val="003028D8"/>
    <w:rsid w:val="0030290F"/>
    <w:rsid w:val="00302DE9"/>
    <w:rsid w:val="0030385E"/>
    <w:rsid w:val="00303869"/>
    <w:rsid w:val="00303F1D"/>
    <w:rsid w:val="00305084"/>
    <w:rsid w:val="00311ABF"/>
    <w:rsid w:val="003123E9"/>
    <w:rsid w:val="00314A81"/>
    <w:rsid w:val="00314DD2"/>
    <w:rsid w:val="00315A7C"/>
    <w:rsid w:val="00317705"/>
    <w:rsid w:val="003204E9"/>
    <w:rsid w:val="003232AA"/>
    <w:rsid w:val="00323A10"/>
    <w:rsid w:val="00323E6A"/>
    <w:rsid w:val="00323F25"/>
    <w:rsid w:val="00324A71"/>
    <w:rsid w:val="003303E3"/>
    <w:rsid w:val="0033236C"/>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60"/>
    <w:rsid w:val="003771ED"/>
    <w:rsid w:val="0037768B"/>
    <w:rsid w:val="00382E6F"/>
    <w:rsid w:val="00387C00"/>
    <w:rsid w:val="00397960"/>
    <w:rsid w:val="00397F75"/>
    <w:rsid w:val="003A2008"/>
    <w:rsid w:val="003A3BC4"/>
    <w:rsid w:val="003A4AA3"/>
    <w:rsid w:val="003B405E"/>
    <w:rsid w:val="003B4843"/>
    <w:rsid w:val="003B494E"/>
    <w:rsid w:val="003B560C"/>
    <w:rsid w:val="003C6E9E"/>
    <w:rsid w:val="003C792F"/>
    <w:rsid w:val="003D117A"/>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358D6"/>
    <w:rsid w:val="004408EC"/>
    <w:rsid w:val="00440F74"/>
    <w:rsid w:val="00441FEC"/>
    <w:rsid w:val="004425E8"/>
    <w:rsid w:val="0044280E"/>
    <w:rsid w:val="00443C8F"/>
    <w:rsid w:val="00447BC6"/>
    <w:rsid w:val="004501CE"/>
    <w:rsid w:val="00452481"/>
    <w:rsid w:val="00452B25"/>
    <w:rsid w:val="00453417"/>
    <w:rsid w:val="00454A0F"/>
    <w:rsid w:val="0046335D"/>
    <w:rsid w:val="00463C2C"/>
    <w:rsid w:val="00483271"/>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02A3"/>
    <w:rsid w:val="00502CD8"/>
    <w:rsid w:val="0050361C"/>
    <w:rsid w:val="0050527A"/>
    <w:rsid w:val="00506A40"/>
    <w:rsid w:val="0051064F"/>
    <w:rsid w:val="00513A0E"/>
    <w:rsid w:val="005142E5"/>
    <w:rsid w:val="00515D7B"/>
    <w:rsid w:val="00515F29"/>
    <w:rsid w:val="0052009E"/>
    <w:rsid w:val="00524880"/>
    <w:rsid w:val="00530161"/>
    <w:rsid w:val="005413D4"/>
    <w:rsid w:val="0054389B"/>
    <w:rsid w:val="005450F7"/>
    <w:rsid w:val="00545A0B"/>
    <w:rsid w:val="00545BED"/>
    <w:rsid w:val="0054672F"/>
    <w:rsid w:val="00547A9A"/>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694E"/>
    <w:rsid w:val="005875F9"/>
    <w:rsid w:val="00593A35"/>
    <w:rsid w:val="00593C74"/>
    <w:rsid w:val="00597D8B"/>
    <w:rsid w:val="005A46FF"/>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1679A"/>
    <w:rsid w:val="00617125"/>
    <w:rsid w:val="00620EDB"/>
    <w:rsid w:val="0062386E"/>
    <w:rsid w:val="00623DB6"/>
    <w:rsid w:val="00624EDE"/>
    <w:rsid w:val="006253EF"/>
    <w:rsid w:val="00626075"/>
    <w:rsid w:val="0062680E"/>
    <w:rsid w:val="00631158"/>
    <w:rsid w:val="00632923"/>
    <w:rsid w:val="006341E6"/>
    <w:rsid w:val="00634439"/>
    <w:rsid w:val="006366C6"/>
    <w:rsid w:val="00636B55"/>
    <w:rsid w:val="00636EB1"/>
    <w:rsid w:val="006373D6"/>
    <w:rsid w:val="006403D4"/>
    <w:rsid w:val="00642CBC"/>
    <w:rsid w:val="00643760"/>
    <w:rsid w:val="0064454A"/>
    <w:rsid w:val="00645293"/>
    <w:rsid w:val="0064698F"/>
    <w:rsid w:val="00651B78"/>
    <w:rsid w:val="0065237A"/>
    <w:rsid w:val="00652FF5"/>
    <w:rsid w:val="00654382"/>
    <w:rsid w:val="00654758"/>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3BC4"/>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4309"/>
    <w:rsid w:val="0071450F"/>
    <w:rsid w:val="00714C6F"/>
    <w:rsid w:val="0071681D"/>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B8"/>
    <w:rsid w:val="007661D4"/>
    <w:rsid w:val="007661FD"/>
    <w:rsid w:val="00766A7C"/>
    <w:rsid w:val="00767A27"/>
    <w:rsid w:val="0077111A"/>
    <w:rsid w:val="00775419"/>
    <w:rsid w:val="007763A5"/>
    <w:rsid w:val="0078008C"/>
    <w:rsid w:val="0078105B"/>
    <w:rsid w:val="00782390"/>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2FC8"/>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16193"/>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6D32"/>
    <w:rsid w:val="0086748F"/>
    <w:rsid w:val="00867B4D"/>
    <w:rsid w:val="00867CF3"/>
    <w:rsid w:val="00870278"/>
    <w:rsid w:val="00874AB5"/>
    <w:rsid w:val="008750A9"/>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14E"/>
    <w:rsid w:val="008C5312"/>
    <w:rsid w:val="008C5DBD"/>
    <w:rsid w:val="008C61D6"/>
    <w:rsid w:val="008D49AF"/>
    <w:rsid w:val="008D4A2B"/>
    <w:rsid w:val="008D4A9F"/>
    <w:rsid w:val="008D6294"/>
    <w:rsid w:val="008E1FE0"/>
    <w:rsid w:val="008E3939"/>
    <w:rsid w:val="008E3DDD"/>
    <w:rsid w:val="008E58D6"/>
    <w:rsid w:val="008F1426"/>
    <w:rsid w:val="008F2125"/>
    <w:rsid w:val="008F23F4"/>
    <w:rsid w:val="008F61C4"/>
    <w:rsid w:val="008F7763"/>
    <w:rsid w:val="009007CB"/>
    <w:rsid w:val="009010F0"/>
    <w:rsid w:val="00901162"/>
    <w:rsid w:val="00901D46"/>
    <w:rsid w:val="009028E2"/>
    <w:rsid w:val="00903692"/>
    <w:rsid w:val="00904E07"/>
    <w:rsid w:val="00912BAF"/>
    <w:rsid w:val="00914EAB"/>
    <w:rsid w:val="0091541F"/>
    <w:rsid w:val="009165E9"/>
    <w:rsid w:val="00920D98"/>
    <w:rsid w:val="0092249B"/>
    <w:rsid w:val="00922D49"/>
    <w:rsid w:val="009238DB"/>
    <w:rsid w:val="00925E37"/>
    <w:rsid w:val="00925EDD"/>
    <w:rsid w:val="00930079"/>
    <w:rsid w:val="00930966"/>
    <w:rsid w:val="00932F64"/>
    <w:rsid w:val="00936075"/>
    <w:rsid w:val="00936D40"/>
    <w:rsid w:val="00937445"/>
    <w:rsid w:val="00937ABF"/>
    <w:rsid w:val="00937DB1"/>
    <w:rsid w:val="009407FE"/>
    <w:rsid w:val="009463CC"/>
    <w:rsid w:val="00950413"/>
    <w:rsid w:val="0095078E"/>
    <w:rsid w:val="00952404"/>
    <w:rsid w:val="00952A72"/>
    <w:rsid w:val="009530AC"/>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5F0E"/>
    <w:rsid w:val="00986963"/>
    <w:rsid w:val="00990ABB"/>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1C74"/>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2E07"/>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4368"/>
    <w:rsid w:val="00B37780"/>
    <w:rsid w:val="00B37813"/>
    <w:rsid w:val="00B37EEF"/>
    <w:rsid w:val="00B411CD"/>
    <w:rsid w:val="00B41ABB"/>
    <w:rsid w:val="00B41C1D"/>
    <w:rsid w:val="00B43917"/>
    <w:rsid w:val="00B43E1E"/>
    <w:rsid w:val="00B4515C"/>
    <w:rsid w:val="00B46220"/>
    <w:rsid w:val="00B464EA"/>
    <w:rsid w:val="00B47574"/>
    <w:rsid w:val="00B52BE7"/>
    <w:rsid w:val="00B5430C"/>
    <w:rsid w:val="00B56A90"/>
    <w:rsid w:val="00B5711C"/>
    <w:rsid w:val="00B57BCF"/>
    <w:rsid w:val="00B57E36"/>
    <w:rsid w:val="00B60209"/>
    <w:rsid w:val="00B606A3"/>
    <w:rsid w:val="00B65D6F"/>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A7532"/>
    <w:rsid w:val="00BB1013"/>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4B8"/>
    <w:rsid w:val="00C559CE"/>
    <w:rsid w:val="00C55E19"/>
    <w:rsid w:val="00C563BF"/>
    <w:rsid w:val="00C57512"/>
    <w:rsid w:val="00C57607"/>
    <w:rsid w:val="00C61133"/>
    <w:rsid w:val="00C64009"/>
    <w:rsid w:val="00C7016D"/>
    <w:rsid w:val="00C767B3"/>
    <w:rsid w:val="00C76C07"/>
    <w:rsid w:val="00C80F23"/>
    <w:rsid w:val="00C835B4"/>
    <w:rsid w:val="00C850A3"/>
    <w:rsid w:val="00C87568"/>
    <w:rsid w:val="00C92451"/>
    <w:rsid w:val="00C9272C"/>
    <w:rsid w:val="00C97764"/>
    <w:rsid w:val="00C97C9B"/>
    <w:rsid w:val="00CA344C"/>
    <w:rsid w:val="00CB142D"/>
    <w:rsid w:val="00CB26C7"/>
    <w:rsid w:val="00CB29F6"/>
    <w:rsid w:val="00CB2BBF"/>
    <w:rsid w:val="00CB481C"/>
    <w:rsid w:val="00CB4C8C"/>
    <w:rsid w:val="00CB62E1"/>
    <w:rsid w:val="00CB6EFE"/>
    <w:rsid w:val="00CC16F9"/>
    <w:rsid w:val="00CC28A9"/>
    <w:rsid w:val="00CC4183"/>
    <w:rsid w:val="00CC6928"/>
    <w:rsid w:val="00CC70A4"/>
    <w:rsid w:val="00CD2BA8"/>
    <w:rsid w:val="00CD4A0C"/>
    <w:rsid w:val="00CD5CEF"/>
    <w:rsid w:val="00CE06EC"/>
    <w:rsid w:val="00CE1F8A"/>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27EA0"/>
    <w:rsid w:val="00D305C9"/>
    <w:rsid w:val="00D3194F"/>
    <w:rsid w:val="00D33751"/>
    <w:rsid w:val="00D3639B"/>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A0C95"/>
    <w:rsid w:val="00DA134E"/>
    <w:rsid w:val="00DA13F3"/>
    <w:rsid w:val="00DA2DE3"/>
    <w:rsid w:val="00DA47D9"/>
    <w:rsid w:val="00DA64AF"/>
    <w:rsid w:val="00DB1F4F"/>
    <w:rsid w:val="00DB2AC7"/>
    <w:rsid w:val="00DB704C"/>
    <w:rsid w:val="00DC693B"/>
    <w:rsid w:val="00DC7C77"/>
    <w:rsid w:val="00DD0F5D"/>
    <w:rsid w:val="00DD426D"/>
    <w:rsid w:val="00DD74FC"/>
    <w:rsid w:val="00DE117F"/>
    <w:rsid w:val="00DE1769"/>
    <w:rsid w:val="00DE1A17"/>
    <w:rsid w:val="00DE1D7B"/>
    <w:rsid w:val="00DE44C8"/>
    <w:rsid w:val="00DE64CC"/>
    <w:rsid w:val="00DE6AA9"/>
    <w:rsid w:val="00DE7B30"/>
    <w:rsid w:val="00DF20C7"/>
    <w:rsid w:val="00DF4D0C"/>
    <w:rsid w:val="00DF5C20"/>
    <w:rsid w:val="00DF7D81"/>
    <w:rsid w:val="00E02DEB"/>
    <w:rsid w:val="00E03486"/>
    <w:rsid w:val="00E0405A"/>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0A31"/>
    <w:rsid w:val="00E521E3"/>
    <w:rsid w:val="00E53B7A"/>
    <w:rsid w:val="00E550C9"/>
    <w:rsid w:val="00E55405"/>
    <w:rsid w:val="00E561F9"/>
    <w:rsid w:val="00E5645D"/>
    <w:rsid w:val="00E57CD3"/>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6A72"/>
    <w:rsid w:val="00E96B52"/>
    <w:rsid w:val="00EA01F7"/>
    <w:rsid w:val="00EA1D33"/>
    <w:rsid w:val="00EA1F5A"/>
    <w:rsid w:val="00EA375F"/>
    <w:rsid w:val="00EA55D2"/>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1B6D"/>
    <w:rsid w:val="00F22211"/>
    <w:rsid w:val="00F22341"/>
    <w:rsid w:val="00F24039"/>
    <w:rsid w:val="00F24E0E"/>
    <w:rsid w:val="00F26693"/>
    <w:rsid w:val="00F3477D"/>
    <w:rsid w:val="00F347FE"/>
    <w:rsid w:val="00F34859"/>
    <w:rsid w:val="00F356F7"/>
    <w:rsid w:val="00F40055"/>
    <w:rsid w:val="00F405D4"/>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742"/>
    <w:rsid w:val="00F804B9"/>
    <w:rsid w:val="00F80AE2"/>
    <w:rsid w:val="00F83FF9"/>
    <w:rsid w:val="00F84D52"/>
    <w:rsid w:val="00F91B52"/>
    <w:rsid w:val="00F961A9"/>
    <w:rsid w:val="00F97478"/>
    <w:rsid w:val="00F97B71"/>
    <w:rsid w:val="00F97B9E"/>
    <w:rsid w:val="00FA0527"/>
    <w:rsid w:val="00FA085E"/>
    <w:rsid w:val="00FA0947"/>
    <w:rsid w:val="00FA2185"/>
    <w:rsid w:val="00FA2D49"/>
    <w:rsid w:val="00FA4B52"/>
    <w:rsid w:val="00FA4D4F"/>
    <w:rsid w:val="00FA4D5B"/>
    <w:rsid w:val="00FA54E8"/>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0C8B"/>
    <w:rsid w:val="00FE1E47"/>
    <w:rsid w:val="00FE275D"/>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2DF5A2-EBF3-499A-8563-FB1CA13D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uiPriority w:val="99"/>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uiPriority w:val="99"/>
    <w:rsid w:val="00D66685"/>
    <w:rPr>
      <w:kern w:val="2"/>
      <w:sz w:val="24"/>
    </w:rPr>
  </w:style>
  <w:style w:type="character" w:styleId="af6">
    <w:name w:val="Strong"/>
    <w:basedOn w:val="a1"/>
    <w:uiPriority w:val="22"/>
    <w:qFormat/>
    <w:rsid w:val="00FE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6204035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042290413">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1105859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15663530">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4984032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7871-0270-411B-BBA0-33DD99F6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0</TotalTime>
  <Pages>5</Pages>
  <Words>1160</Words>
  <Characters>6616</Characters>
  <Application>Microsoft Office Word</Application>
  <DocSecurity>4</DocSecurity>
  <Lines>55</Lines>
  <Paragraphs>15</Paragraphs>
  <ScaleCrop>false</ScaleCrop>
  <Company>TRT. Ltd. Co.</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2020-01-13T02:41:00Z</dcterms:created>
  <dcterms:modified xsi:type="dcterms:W3CDTF">2020-01-13T02:41:00Z</dcterms:modified>
</cp:coreProperties>
</file>