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易方达消费行业股票型证券投资基金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2019年第4季度报告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2019年12月31日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中国农业银行股份有限公司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二〇二〇年一月十八日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C13D32" w:rsidRDefault="00CB6F2D">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13D32" w:rsidRDefault="00CB6F2D">
      <w:pPr>
        <w:spacing w:line="360"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2020</w:t>
      </w:r>
      <w:r>
        <w:rPr>
          <w:color w:val="000000"/>
          <w:sz w:val="24"/>
          <w:szCs w:val="24"/>
        </w:rPr>
        <w:t>年</w:t>
      </w:r>
      <w:r>
        <w:rPr>
          <w:color w:val="000000"/>
          <w:sz w:val="24"/>
          <w:szCs w:val="24"/>
        </w:rPr>
        <w:t>1</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13D32" w:rsidRDefault="00CB6F2D">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13D32" w:rsidRDefault="00CB6F2D">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C13D32" w:rsidRDefault="00CB6F2D">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2019</w:t>
      </w:r>
      <w:r w:rsidRPr="006C56AA">
        <w:rPr>
          <w:color w:val="000000"/>
          <w:sz w:val="24"/>
          <w:szCs w:val="24"/>
        </w:rPr>
        <w:t>年</w:t>
      </w:r>
      <w:r w:rsidRPr="006C56AA">
        <w:rPr>
          <w:color w:val="000000"/>
          <w:sz w:val="24"/>
          <w:szCs w:val="24"/>
        </w:rPr>
        <w:t>10</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12</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易方达消费行业股票</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110022</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110022</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2010</w:t>
            </w:r>
            <w:r w:rsidRPr="00232B03">
              <w:rPr>
                <w:color w:val="000000"/>
                <w:kern w:val="0"/>
                <w:sz w:val="24"/>
                <w:szCs w:val="24"/>
              </w:rPr>
              <w:t>年</w:t>
            </w:r>
            <w:r w:rsidRPr="00232B03">
              <w:rPr>
                <w:color w:val="000000"/>
                <w:kern w:val="0"/>
                <w:sz w:val="24"/>
                <w:szCs w:val="24"/>
              </w:rPr>
              <w:t>8</w:t>
            </w:r>
            <w:r w:rsidRPr="00232B03">
              <w:rPr>
                <w:color w:val="000000"/>
                <w:kern w:val="0"/>
                <w:sz w:val="24"/>
                <w:szCs w:val="24"/>
              </w:rPr>
              <w:t>月</w:t>
            </w:r>
            <w:r w:rsidRPr="00232B03">
              <w:rPr>
                <w:color w:val="000000"/>
                <w:kern w:val="0"/>
                <w:sz w:val="24"/>
                <w:szCs w:val="24"/>
              </w:rPr>
              <w:t>20</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6,715,986,768.91</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主要投资消费行业股票，在严格控制风险的前提下，追求超越业绩比较基准的投资回报。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本基金将根据对消费行业各子行业的综合分析，从中选择具有较强竞争优势且估值具有吸引力的上市公司进行投资，在努力控制风险的前提下追求更高回报。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中证内地消费主题指数收益率</w:t>
            </w:r>
            <w:r w:rsidRPr="00232B03">
              <w:rPr>
                <w:color w:val="000000"/>
                <w:kern w:val="0"/>
                <w:sz w:val="24"/>
                <w:szCs w:val="24"/>
              </w:rPr>
              <w:t>×85%+</w:t>
            </w:r>
            <w:r w:rsidRPr="00232B03">
              <w:rPr>
                <w:color w:val="000000"/>
                <w:kern w:val="0"/>
                <w:sz w:val="24"/>
                <w:szCs w:val="24"/>
              </w:rPr>
              <w:t>中债总指数</w:t>
            </w:r>
            <w:r w:rsidRPr="00232B03">
              <w:rPr>
                <w:color w:val="000000"/>
                <w:kern w:val="0"/>
                <w:sz w:val="24"/>
                <w:szCs w:val="24"/>
              </w:rPr>
              <w:lastRenderedPageBreak/>
              <w:t>收益率</w:t>
            </w:r>
            <w:r w:rsidRPr="00232B03">
              <w:rPr>
                <w:color w:val="000000"/>
                <w:kern w:val="0"/>
                <w:sz w:val="24"/>
                <w:szCs w:val="24"/>
              </w:rPr>
              <w:t>×15%</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本基金为主动股票基金，理论上其风险收益水平高于混合基金和债券基金。同时，本基金为行业基金，在享受消费行业收益的同时，也必须承担单一行业带来的风险。</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中国农业银行股份有限公司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392044" w:rsidRPr="006506EF" w:rsidTr="00C3442A">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(2019</w:t>
            </w:r>
            <w:r w:rsidRPr="006506EF">
              <w:rPr>
                <w:color w:val="000000"/>
                <w:sz w:val="24"/>
              </w:rPr>
              <w:t>年</w:t>
            </w:r>
            <w:r w:rsidRPr="006506EF">
              <w:rPr>
                <w:color w:val="000000"/>
                <w:sz w:val="24"/>
              </w:rPr>
              <w:t>10</w:t>
            </w:r>
            <w:r w:rsidRPr="006506EF">
              <w:rPr>
                <w:color w:val="000000"/>
                <w:sz w:val="24"/>
              </w:rPr>
              <w:t>月</w:t>
            </w:r>
            <w:r w:rsidRPr="006506EF">
              <w:rPr>
                <w:color w:val="000000"/>
                <w:sz w:val="24"/>
              </w:rPr>
              <w:t>1</w:t>
            </w:r>
            <w:r w:rsidRPr="006506EF">
              <w:rPr>
                <w:color w:val="000000"/>
                <w:sz w:val="24"/>
              </w:rPr>
              <w:t>日</w:t>
            </w:r>
            <w:r w:rsidRPr="006506EF">
              <w:rPr>
                <w:color w:val="000000"/>
                <w:sz w:val="24"/>
              </w:rPr>
              <w:t>-2019</w:t>
            </w:r>
            <w:r w:rsidRPr="006506EF">
              <w:rPr>
                <w:color w:val="000000"/>
                <w:sz w:val="24"/>
              </w:rPr>
              <w:t>年</w:t>
            </w:r>
            <w:r w:rsidRPr="006506EF">
              <w:rPr>
                <w:color w:val="000000"/>
                <w:sz w:val="24"/>
              </w:rPr>
              <w:t>12</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上期金额</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-36,477,416.52</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1,184,245,860.31</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0.1724</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20,529,301,497.74</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3.057</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bl>
    <w:p w:rsidR="00C13D32" w:rsidRDefault="00CB6F2D">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750D48" w:rsidRPr="00232B03" w:rsidRDefault="00392044" w:rsidP="00232B03">
      <w:pPr>
        <w:spacing w:line="360" w:lineRule="auto"/>
        <w:ind w:firstLineChars="200" w:firstLine="480"/>
        <w:rPr>
          <w:color w:val="000000"/>
          <w:sz w:val="24"/>
          <w:szCs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C13D32">
        <w:tc>
          <w:tcPr>
            <w:tcW w:w="0" w:type="auto"/>
            <w:vAlign w:val="center"/>
          </w:tcPr>
          <w:p w:rsidR="00C13D32" w:rsidRDefault="00CB6F2D">
            <w:pPr>
              <w:jc w:val="left"/>
            </w:pPr>
            <w:r>
              <w:rPr>
                <w:color w:val="000000"/>
                <w:kern w:val="0"/>
                <w:sz w:val="24"/>
                <w:szCs w:val="24"/>
              </w:rPr>
              <w:t>过去三个月</w:t>
            </w:r>
          </w:p>
        </w:tc>
        <w:tc>
          <w:tcPr>
            <w:tcW w:w="0" w:type="auto"/>
            <w:vAlign w:val="center"/>
          </w:tcPr>
          <w:p w:rsidR="00C13D32" w:rsidRDefault="00CB6F2D">
            <w:pPr>
              <w:jc w:val="center"/>
            </w:pPr>
            <w:r>
              <w:rPr>
                <w:color w:val="000000"/>
                <w:kern w:val="0"/>
                <w:sz w:val="24"/>
                <w:szCs w:val="24"/>
              </w:rPr>
              <w:t>5.93%</w:t>
            </w:r>
          </w:p>
        </w:tc>
        <w:tc>
          <w:tcPr>
            <w:tcW w:w="0" w:type="auto"/>
            <w:vAlign w:val="center"/>
          </w:tcPr>
          <w:p w:rsidR="00C13D32" w:rsidRDefault="00CB6F2D">
            <w:pPr>
              <w:jc w:val="center"/>
            </w:pPr>
            <w:r>
              <w:rPr>
                <w:color w:val="000000"/>
                <w:kern w:val="0"/>
                <w:sz w:val="24"/>
                <w:szCs w:val="24"/>
              </w:rPr>
              <w:t>0.95%</w:t>
            </w:r>
          </w:p>
        </w:tc>
        <w:tc>
          <w:tcPr>
            <w:tcW w:w="0" w:type="auto"/>
            <w:vAlign w:val="center"/>
          </w:tcPr>
          <w:p w:rsidR="00C13D32" w:rsidRDefault="00CB6F2D">
            <w:pPr>
              <w:jc w:val="center"/>
            </w:pPr>
            <w:r>
              <w:rPr>
                <w:color w:val="000000"/>
                <w:kern w:val="0"/>
                <w:sz w:val="24"/>
                <w:szCs w:val="24"/>
              </w:rPr>
              <w:t>6.02%</w:t>
            </w:r>
          </w:p>
        </w:tc>
        <w:tc>
          <w:tcPr>
            <w:tcW w:w="0" w:type="auto"/>
            <w:vAlign w:val="center"/>
          </w:tcPr>
          <w:p w:rsidR="00C13D32" w:rsidRDefault="00CB6F2D">
            <w:pPr>
              <w:jc w:val="center"/>
            </w:pPr>
            <w:r>
              <w:rPr>
                <w:color w:val="000000"/>
                <w:kern w:val="0"/>
                <w:sz w:val="24"/>
                <w:szCs w:val="24"/>
              </w:rPr>
              <w:t>0.72%</w:t>
            </w:r>
          </w:p>
        </w:tc>
        <w:tc>
          <w:tcPr>
            <w:tcW w:w="0" w:type="auto"/>
            <w:vAlign w:val="center"/>
          </w:tcPr>
          <w:p w:rsidR="00C13D32" w:rsidRDefault="00CB6F2D">
            <w:pPr>
              <w:jc w:val="center"/>
            </w:pPr>
            <w:r>
              <w:rPr>
                <w:color w:val="000000"/>
                <w:kern w:val="0"/>
                <w:sz w:val="24"/>
                <w:szCs w:val="24"/>
              </w:rPr>
              <w:t>-0.09%</w:t>
            </w:r>
          </w:p>
        </w:tc>
        <w:tc>
          <w:tcPr>
            <w:tcW w:w="0" w:type="auto"/>
            <w:vAlign w:val="center"/>
          </w:tcPr>
          <w:p w:rsidR="00C13D32" w:rsidRDefault="00CB6F2D">
            <w:pPr>
              <w:jc w:val="center"/>
            </w:pPr>
            <w:r>
              <w:rPr>
                <w:color w:val="000000"/>
                <w:kern w:val="0"/>
                <w:sz w:val="24"/>
                <w:szCs w:val="24"/>
              </w:rPr>
              <w:t>0.23%</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易方达消费行业股票型证券投资基金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2010</w:t>
      </w:r>
      <w:r w:rsidRPr="0074694E">
        <w:rPr>
          <w:rFonts w:ascii="Times New Roman" w:hAnsi="Times New Roman"/>
          <w:sz w:val="24"/>
          <w:szCs w:val="24"/>
        </w:rPr>
        <w:t>年</w:t>
      </w:r>
      <w:r w:rsidRPr="0074694E">
        <w:rPr>
          <w:rFonts w:ascii="Times New Roman" w:hAnsi="Times New Roman"/>
          <w:sz w:val="24"/>
          <w:szCs w:val="24"/>
        </w:rPr>
        <w:t>8</w:t>
      </w:r>
      <w:r w:rsidRPr="0074694E">
        <w:rPr>
          <w:rFonts w:ascii="Times New Roman" w:hAnsi="Times New Roman"/>
          <w:sz w:val="24"/>
          <w:szCs w:val="24"/>
        </w:rPr>
        <w:t>月</w:t>
      </w:r>
      <w:r w:rsidRPr="0074694E">
        <w:rPr>
          <w:rFonts w:ascii="Times New Roman" w:hAnsi="Times New Roman"/>
          <w:sz w:val="24"/>
          <w:szCs w:val="24"/>
        </w:rPr>
        <w:t>20</w:t>
      </w:r>
      <w:r w:rsidRPr="0074694E">
        <w:rPr>
          <w:rFonts w:ascii="Times New Roman" w:hAnsi="Times New Roman"/>
          <w:sz w:val="24"/>
          <w:szCs w:val="24"/>
        </w:rPr>
        <w:t>日至</w:t>
      </w:r>
      <w:r w:rsidRPr="0074694E">
        <w:rPr>
          <w:rFonts w:ascii="Times New Roman" w:hAnsi="Times New Roman"/>
          <w:sz w:val="24"/>
          <w:szCs w:val="24"/>
        </w:rPr>
        <w:t>2019</w:t>
      </w:r>
      <w:r w:rsidRPr="0074694E">
        <w:rPr>
          <w:rFonts w:ascii="Times New Roman" w:hAnsi="Times New Roman"/>
          <w:sz w:val="24"/>
          <w:szCs w:val="24"/>
        </w:rPr>
        <w:t>年</w:t>
      </w:r>
      <w:r w:rsidRPr="0074694E">
        <w:rPr>
          <w:rFonts w:ascii="Times New Roman" w:hAnsi="Times New Roman"/>
          <w:sz w:val="24"/>
          <w:szCs w:val="24"/>
        </w:rPr>
        <w:t>12</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CB6F2D"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注：自基金合同生效至报告期末，基金份额净值增长率为</w:t>
      </w:r>
      <w:r w:rsidRPr="006C56AA">
        <w:rPr>
          <w:color w:val="000000"/>
          <w:sz w:val="24"/>
          <w:szCs w:val="24"/>
        </w:rPr>
        <w:t>205.70%</w:t>
      </w:r>
      <w:r w:rsidRPr="006C56AA">
        <w:rPr>
          <w:color w:val="000000"/>
          <w:sz w:val="24"/>
          <w:szCs w:val="24"/>
        </w:rPr>
        <w:t>，同期业绩比较基准收益率为</w:t>
      </w:r>
      <w:r w:rsidRPr="006C56AA">
        <w:rPr>
          <w:color w:val="000000"/>
          <w:sz w:val="24"/>
          <w:szCs w:val="24"/>
        </w:rPr>
        <w:t>96.42%</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C13D32">
        <w:tc>
          <w:tcPr>
            <w:tcW w:w="0" w:type="auto"/>
            <w:vAlign w:val="center"/>
          </w:tcPr>
          <w:p w:rsidR="00C13D32" w:rsidRDefault="00CB6F2D">
            <w:pPr>
              <w:jc w:val="center"/>
            </w:pPr>
            <w:r>
              <w:rPr>
                <w:color w:val="000000"/>
                <w:sz w:val="24"/>
              </w:rPr>
              <w:t>萧楠</w:t>
            </w:r>
          </w:p>
        </w:tc>
        <w:tc>
          <w:tcPr>
            <w:tcW w:w="0" w:type="auto"/>
            <w:vAlign w:val="center"/>
          </w:tcPr>
          <w:p w:rsidR="00C13D32" w:rsidRDefault="00CB6F2D">
            <w:pPr>
              <w:jc w:val="center"/>
            </w:pPr>
            <w:r>
              <w:rPr>
                <w:color w:val="000000"/>
                <w:sz w:val="24"/>
              </w:rPr>
              <w:t>本基金的基金经理、易方达现代服务业灵活配置混合型证券投资基金的基金经理、易方达瑞恒灵活配置混合型证券投资基金的基金经理、易方达科顺定期开放灵活配置混合型证券投资基金的基金经理、易方达大健康主题灵活配置混合型证券投资基金的基金经理、投资三部总经理、研究部副总经理</w:t>
            </w:r>
          </w:p>
        </w:tc>
        <w:tc>
          <w:tcPr>
            <w:tcW w:w="0" w:type="auto"/>
            <w:vAlign w:val="center"/>
          </w:tcPr>
          <w:p w:rsidR="00C13D32" w:rsidRDefault="00CB6F2D">
            <w:pPr>
              <w:jc w:val="center"/>
            </w:pPr>
            <w:r>
              <w:rPr>
                <w:color w:val="000000"/>
                <w:sz w:val="24"/>
              </w:rPr>
              <w:t>2012-09-28</w:t>
            </w:r>
          </w:p>
        </w:tc>
        <w:tc>
          <w:tcPr>
            <w:tcW w:w="0" w:type="auto"/>
            <w:vAlign w:val="center"/>
          </w:tcPr>
          <w:p w:rsidR="00C13D32" w:rsidRDefault="00CB6F2D">
            <w:pPr>
              <w:jc w:val="center"/>
            </w:pPr>
            <w:r>
              <w:rPr>
                <w:color w:val="000000"/>
                <w:sz w:val="24"/>
              </w:rPr>
              <w:t>-</w:t>
            </w:r>
          </w:p>
        </w:tc>
        <w:tc>
          <w:tcPr>
            <w:tcW w:w="0" w:type="auto"/>
            <w:vAlign w:val="center"/>
          </w:tcPr>
          <w:p w:rsidR="00C13D32" w:rsidRDefault="00CB6F2D">
            <w:pPr>
              <w:jc w:val="center"/>
            </w:pPr>
            <w:r>
              <w:rPr>
                <w:color w:val="000000"/>
                <w:sz w:val="24"/>
              </w:rPr>
              <w:t>13</w:t>
            </w:r>
            <w:r>
              <w:rPr>
                <w:color w:val="000000"/>
                <w:sz w:val="24"/>
              </w:rPr>
              <w:t>年</w:t>
            </w:r>
          </w:p>
        </w:tc>
        <w:tc>
          <w:tcPr>
            <w:tcW w:w="0" w:type="auto"/>
            <w:vAlign w:val="center"/>
          </w:tcPr>
          <w:p w:rsidR="00C13D32" w:rsidRDefault="00CB6F2D">
            <w:r>
              <w:rPr>
                <w:color w:val="000000"/>
                <w:sz w:val="24"/>
              </w:rPr>
              <w:t>硕士研究生，具有基金从业资格。曾任易方达基金管理有限公司研究部行业研究员、基金投资部基金经理助理、投资经理、易方达裕如灵活配置混合型证券投资基金基金经理、易方达新享灵活配置混合型证券投资基金基金经理、易方达瑞和灵活配置混合型证券投资基金基金经理、易方达价值成长混合型证券投资基金基金经理助理。</w:t>
            </w:r>
          </w:p>
        </w:tc>
      </w:tr>
    </w:tbl>
    <w:p w:rsidR="00C13D32" w:rsidRDefault="00CB6F2D">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C13D32" w:rsidRDefault="00CB6F2D">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本报告期内，公司旗下所有投资组合参与的交易所公开竞价交易中，同日反向交易成交较少的单边交易量超过该证券当日成交量的</w:t>
      </w:r>
      <w:r>
        <w:rPr>
          <w:color w:val="000000"/>
          <w:sz w:val="24"/>
          <w:szCs w:val="24"/>
        </w:rPr>
        <w:t>5%</w:t>
      </w:r>
      <w:r>
        <w:rPr>
          <w:color w:val="000000"/>
          <w:sz w:val="24"/>
          <w:szCs w:val="24"/>
        </w:rPr>
        <w:t>的交易共</w:t>
      </w:r>
      <w:r>
        <w:rPr>
          <w:color w:val="000000"/>
          <w:sz w:val="24"/>
          <w:szCs w:val="24"/>
        </w:rPr>
        <w:t>28</w:t>
      </w:r>
      <w:r>
        <w:rPr>
          <w:color w:val="000000"/>
          <w:sz w:val="24"/>
          <w:szCs w:val="24"/>
        </w:rPr>
        <w:t>次，其中</w:t>
      </w:r>
      <w:r>
        <w:rPr>
          <w:color w:val="000000"/>
          <w:sz w:val="24"/>
          <w:szCs w:val="24"/>
        </w:rPr>
        <w:t>27</w:t>
      </w:r>
      <w:r>
        <w:rPr>
          <w:color w:val="000000"/>
          <w:sz w:val="24"/>
          <w:szCs w:val="24"/>
        </w:rPr>
        <w:t>次为指数量化投资组合因投资策略需要和其他组合发生的反向交易，</w:t>
      </w:r>
      <w:r>
        <w:rPr>
          <w:color w:val="000000"/>
          <w:sz w:val="24"/>
          <w:szCs w:val="24"/>
        </w:rPr>
        <w:t>1</w:t>
      </w:r>
      <w:r>
        <w:rPr>
          <w:color w:val="000000"/>
          <w:sz w:val="24"/>
          <w:szCs w:val="24"/>
        </w:rPr>
        <w:t>次为不同基金经理管理的基金因投资策略不同而发生的反向交易，有关基金经理按规定履行了审批程序。</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C13D32" w:rsidRDefault="00CB6F2D">
      <w:pPr>
        <w:spacing w:line="360" w:lineRule="auto"/>
        <w:ind w:firstLineChars="200" w:firstLine="480"/>
        <w:rPr>
          <w:color w:val="000000"/>
          <w:sz w:val="24"/>
          <w:szCs w:val="24"/>
        </w:rPr>
      </w:pPr>
      <w:r>
        <w:rPr>
          <w:color w:val="000000"/>
          <w:sz w:val="24"/>
          <w:szCs w:val="24"/>
        </w:rPr>
        <w:t>2019</w:t>
      </w:r>
      <w:r>
        <w:rPr>
          <w:color w:val="000000"/>
          <w:sz w:val="24"/>
          <w:szCs w:val="24"/>
        </w:rPr>
        <w:t>年四季度，</w:t>
      </w:r>
      <w:r>
        <w:rPr>
          <w:color w:val="000000"/>
          <w:sz w:val="24"/>
          <w:szCs w:val="24"/>
        </w:rPr>
        <w:t>A</w:t>
      </w:r>
      <w:r>
        <w:rPr>
          <w:color w:val="000000"/>
          <w:sz w:val="24"/>
          <w:szCs w:val="24"/>
        </w:rPr>
        <w:t>股风险偏好持续上升，市场整体估值水平不断提高。四季度上证综指上涨</w:t>
      </w:r>
      <w:r>
        <w:rPr>
          <w:color w:val="000000"/>
          <w:sz w:val="24"/>
          <w:szCs w:val="24"/>
        </w:rPr>
        <w:t>4.99%</w:t>
      </w:r>
      <w:r>
        <w:rPr>
          <w:color w:val="000000"/>
          <w:sz w:val="24"/>
          <w:szCs w:val="24"/>
        </w:rPr>
        <w:t>，上证</w:t>
      </w:r>
      <w:r>
        <w:rPr>
          <w:color w:val="000000"/>
          <w:sz w:val="24"/>
          <w:szCs w:val="24"/>
        </w:rPr>
        <w:t>50</w:t>
      </w:r>
      <w:r>
        <w:rPr>
          <w:color w:val="000000"/>
          <w:sz w:val="24"/>
          <w:szCs w:val="24"/>
        </w:rPr>
        <w:t>上涨</w:t>
      </w:r>
      <w:r>
        <w:rPr>
          <w:color w:val="000000"/>
          <w:sz w:val="24"/>
          <w:szCs w:val="24"/>
        </w:rPr>
        <w:t>5.71%</w:t>
      </w:r>
      <w:r>
        <w:rPr>
          <w:color w:val="000000"/>
          <w:sz w:val="24"/>
          <w:szCs w:val="24"/>
        </w:rPr>
        <w:t>，创业板指上涨</w:t>
      </w:r>
      <w:r>
        <w:rPr>
          <w:color w:val="000000"/>
          <w:sz w:val="24"/>
          <w:szCs w:val="24"/>
        </w:rPr>
        <w:t>10.48%</w:t>
      </w:r>
      <w:r>
        <w:rPr>
          <w:color w:val="000000"/>
          <w:sz w:val="24"/>
          <w:szCs w:val="24"/>
        </w:rPr>
        <w:t>。随着外部环境边际上的改善，市场对未来的预期逐渐变得乐观，但投机泡沫也在逐步累积。本季度中证内地消费指数上涨</w:t>
      </w:r>
      <w:r>
        <w:rPr>
          <w:color w:val="000000"/>
          <w:sz w:val="24"/>
          <w:szCs w:val="24"/>
        </w:rPr>
        <w:t>6.93%</w:t>
      </w:r>
      <w:r>
        <w:rPr>
          <w:color w:val="000000"/>
          <w:sz w:val="24"/>
          <w:szCs w:val="24"/>
        </w:rPr>
        <w:t>，传统消费股表现并不突出。在消费板块各子行业中，传媒、白电、汽车零部件表现突出，零售、医药商业等行业表现落后。</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随着市场风险偏好的提升，投资者的预期回报也水涨船高，人们愿意倾听乐观的预言家，而不是谨慎的会计师。但是，我们对投资的命题永远是</w:t>
      </w:r>
      <w:r w:rsidRPr="006C56AA">
        <w:rPr>
          <w:color w:val="000000"/>
          <w:sz w:val="24"/>
          <w:szCs w:val="24"/>
        </w:rPr>
        <w:t xml:space="preserve"> “</w:t>
      </w:r>
      <w:r w:rsidRPr="006C56AA">
        <w:rPr>
          <w:color w:val="000000"/>
          <w:sz w:val="24"/>
          <w:szCs w:val="24"/>
        </w:rPr>
        <w:t>这公司值多少钱</w:t>
      </w:r>
      <w:r w:rsidRPr="006C56AA">
        <w:rPr>
          <w:color w:val="000000"/>
          <w:sz w:val="24"/>
          <w:szCs w:val="24"/>
        </w:rPr>
        <w:t>”</w:t>
      </w:r>
      <w:r w:rsidRPr="006C56AA">
        <w:rPr>
          <w:color w:val="000000"/>
          <w:sz w:val="24"/>
          <w:szCs w:val="24"/>
        </w:rPr>
        <w:t>，而不是</w:t>
      </w:r>
      <w:r w:rsidRPr="006C56AA">
        <w:rPr>
          <w:color w:val="000000"/>
          <w:sz w:val="24"/>
          <w:szCs w:val="24"/>
        </w:rPr>
        <w:t>“</w:t>
      </w:r>
      <w:r w:rsidRPr="006C56AA">
        <w:rPr>
          <w:color w:val="000000"/>
          <w:sz w:val="24"/>
          <w:szCs w:val="24"/>
        </w:rPr>
        <w:t>接下来市场会喜欢什么</w:t>
      </w:r>
      <w:r w:rsidRPr="006C56AA">
        <w:rPr>
          <w:color w:val="000000"/>
          <w:sz w:val="24"/>
          <w:szCs w:val="24"/>
        </w:rPr>
        <w:t>”</w:t>
      </w:r>
      <w:r w:rsidRPr="006C56AA">
        <w:rPr>
          <w:color w:val="000000"/>
          <w:sz w:val="24"/>
          <w:szCs w:val="24"/>
        </w:rPr>
        <w:t>，同时，我们对公司的价值也有了更加深入的思考。四季度我们卖出了一些竞争过于残酷、凭自身努力难以胜出的公司，以及一些经营出现偏差、对未来投入不足的公司，同时，我们买入了一些经营管理上出现阶段性问题，但品牌价值被严重低估的消费品公司。</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3.057</w:t>
      </w:r>
      <w:r w:rsidRPr="006C56AA">
        <w:rPr>
          <w:color w:val="000000"/>
          <w:sz w:val="24"/>
          <w:szCs w:val="24"/>
        </w:rPr>
        <w:t>元，本报告期份额净值增长率为</w:t>
      </w:r>
      <w:r w:rsidRPr="006C56AA">
        <w:rPr>
          <w:color w:val="000000"/>
          <w:sz w:val="24"/>
          <w:szCs w:val="24"/>
        </w:rPr>
        <w:t>5.93%</w:t>
      </w:r>
      <w:r w:rsidRPr="006C56AA">
        <w:rPr>
          <w:color w:val="000000"/>
          <w:sz w:val="24"/>
          <w:szCs w:val="24"/>
        </w:rPr>
        <w:t>，同期业绩比较基准收益率为</w:t>
      </w:r>
      <w:r w:rsidRPr="006C56AA">
        <w:rPr>
          <w:color w:val="000000"/>
          <w:sz w:val="24"/>
          <w:szCs w:val="24"/>
        </w:rPr>
        <w:t>6.02%</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17,555,528,425.78</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83.69</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17,555,528,425.78</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83.69</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902,159,739.00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4.30</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902,159,739.00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4.30</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1,151,000,975.50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5.49</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1,200,263,510.92</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5.72</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168,760,213.24</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0.80</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20,977,712,864.44</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176,897,915.22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0.86</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17,376,404,083.51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84.64</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2,219,849.01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0.01</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6,578.04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17,555,528,425.78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85.51</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C13D32">
        <w:tc>
          <w:tcPr>
            <w:tcW w:w="0" w:type="auto"/>
            <w:vAlign w:val="center"/>
          </w:tcPr>
          <w:p w:rsidR="00C13D32" w:rsidRDefault="00CB6F2D">
            <w:pPr>
              <w:jc w:val="center"/>
            </w:pPr>
            <w:r>
              <w:rPr>
                <w:color w:val="000000"/>
                <w:kern w:val="0"/>
                <w:sz w:val="24"/>
                <w:szCs w:val="24"/>
              </w:rPr>
              <w:t>1</w:t>
            </w:r>
          </w:p>
        </w:tc>
        <w:tc>
          <w:tcPr>
            <w:tcW w:w="0" w:type="auto"/>
            <w:vAlign w:val="center"/>
          </w:tcPr>
          <w:p w:rsidR="00C13D32" w:rsidRDefault="00CB6F2D">
            <w:pPr>
              <w:jc w:val="center"/>
            </w:pPr>
            <w:r>
              <w:rPr>
                <w:color w:val="000000"/>
                <w:kern w:val="0"/>
                <w:sz w:val="24"/>
                <w:szCs w:val="24"/>
              </w:rPr>
              <w:t>000651</w:t>
            </w:r>
          </w:p>
        </w:tc>
        <w:tc>
          <w:tcPr>
            <w:tcW w:w="0" w:type="auto"/>
            <w:vAlign w:val="center"/>
          </w:tcPr>
          <w:p w:rsidR="00C13D32" w:rsidRDefault="00CB6F2D">
            <w:pPr>
              <w:jc w:val="center"/>
            </w:pPr>
            <w:r>
              <w:rPr>
                <w:color w:val="000000"/>
                <w:kern w:val="0"/>
                <w:sz w:val="24"/>
                <w:szCs w:val="24"/>
              </w:rPr>
              <w:t>格力电器</w:t>
            </w:r>
          </w:p>
        </w:tc>
        <w:tc>
          <w:tcPr>
            <w:tcW w:w="0" w:type="auto"/>
            <w:vAlign w:val="center"/>
          </w:tcPr>
          <w:p w:rsidR="00C13D32" w:rsidRDefault="00CB6F2D">
            <w:pPr>
              <w:jc w:val="right"/>
            </w:pPr>
            <w:r>
              <w:rPr>
                <w:color w:val="000000"/>
                <w:kern w:val="0"/>
                <w:sz w:val="24"/>
                <w:szCs w:val="24"/>
              </w:rPr>
              <w:t>30,404,950</w:t>
            </w:r>
          </w:p>
        </w:tc>
        <w:tc>
          <w:tcPr>
            <w:tcW w:w="0" w:type="auto"/>
            <w:vAlign w:val="center"/>
          </w:tcPr>
          <w:p w:rsidR="00C13D32" w:rsidRDefault="00CB6F2D">
            <w:pPr>
              <w:jc w:val="right"/>
            </w:pPr>
            <w:r>
              <w:rPr>
                <w:color w:val="000000"/>
                <w:kern w:val="0"/>
                <w:sz w:val="24"/>
                <w:szCs w:val="24"/>
              </w:rPr>
              <w:t>1,993,956,621.00</w:t>
            </w:r>
          </w:p>
        </w:tc>
        <w:tc>
          <w:tcPr>
            <w:tcW w:w="0" w:type="auto"/>
            <w:vAlign w:val="center"/>
          </w:tcPr>
          <w:p w:rsidR="00C13D32" w:rsidRDefault="00CB6F2D">
            <w:pPr>
              <w:jc w:val="right"/>
            </w:pPr>
            <w:r>
              <w:rPr>
                <w:color w:val="000000"/>
                <w:kern w:val="0"/>
                <w:sz w:val="24"/>
                <w:szCs w:val="24"/>
              </w:rPr>
              <w:t>9.71</w:t>
            </w:r>
          </w:p>
        </w:tc>
      </w:tr>
      <w:tr w:rsidR="00C13D32">
        <w:tc>
          <w:tcPr>
            <w:tcW w:w="0" w:type="auto"/>
            <w:vAlign w:val="center"/>
          </w:tcPr>
          <w:p w:rsidR="00C13D32" w:rsidRDefault="00CB6F2D">
            <w:pPr>
              <w:jc w:val="center"/>
            </w:pPr>
            <w:r>
              <w:rPr>
                <w:color w:val="000000"/>
                <w:kern w:val="0"/>
                <w:sz w:val="24"/>
                <w:szCs w:val="24"/>
              </w:rPr>
              <w:t>2</w:t>
            </w:r>
          </w:p>
        </w:tc>
        <w:tc>
          <w:tcPr>
            <w:tcW w:w="0" w:type="auto"/>
            <w:vAlign w:val="center"/>
          </w:tcPr>
          <w:p w:rsidR="00C13D32" w:rsidRDefault="00CB6F2D">
            <w:pPr>
              <w:jc w:val="center"/>
            </w:pPr>
            <w:r>
              <w:rPr>
                <w:color w:val="000000"/>
                <w:kern w:val="0"/>
                <w:sz w:val="24"/>
                <w:szCs w:val="24"/>
              </w:rPr>
              <w:t>000333</w:t>
            </w:r>
          </w:p>
        </w:tc>
        <w:tc>
          <w:tcPr>
            <w:tcW w:w="0" w:type="auto"/>
            <w:vAlign w:val="center"/>
          </w:tcPr>
          <w:p w:rsidR="00C13D32" w:rsidRDefault="00CB6F2D">
            <w:pPr>
              <w:jc w:val="center"/>
            </w:pPr>
            <w:r>
              <w:rPr>
                <w:color w:val="000000"/>
                <w:kern w:val="0"/>
                <w:sz w:val="24"/>
                <w:szCs w:val="24"/>
              </w:rPr>
              <w:t>美的集团</w:t>
            </w:r>
          </w:p>
        </w:tc>
        <w:tc>
          <w:tcPr>
            <w:tcW w:w="0" w:type="auto"/>
            <w:vAlign w:val="center"/>
          </w:tcPr>
          <w:p w:rsidR="00C13D32" w:rsidRDefault="00CB6F2D">
            <w:pPr>
              <w:jc w:val="right"/>
            </w:pPr>
            <w:r>
              <w:rPr>
                <w:color w:val="000000"/>
                <w:kern w:val="0"/>
                <w:sz w:val="24"/>
                <w:szCs w:val="24"/>
              </w:rPr>
              <w:t>34,103,054</w:t>
            </w:r>
          </w:p>
        </w:tc>
        <w:tc>
          <w:tcPr>
            <w:tcW w:w="0" w:type="auto"/>
            <w:vAlign w:val="center"/>
          </w:tcPr>
          <w:p w:rsidR="00C13D32" w:rsidRDefault="00CB6F2D">
            <w:pPr>
              <w:jc w:val="right"/>
            </w:pPr>
            <w:r>
              <w:rPr>
                <w:color w:val="000000"/>
                <w:kern w:val="0"/>
                <w:sz w:val="24"/>
                <w:szCs w:val="24"/>
              </w:rPr>
              <w:t>1,986,502,895.50</w:t>
            </w:r>
          </w:p>
        </w:tc>
        <w:tc>
          <w:tcPr>
            <w:tcW w:w="0" w:type="auto"/>
            <w:vAlign w:val="center"/>
          </w:tcPr>
          <w:p w:rsidR="00C13D32" w:rsidRDefault="00CB6F2D">
            <w:pPr>
              <w:jc w:val="right"/>
            </w:pPr>
            <w:r>
              <w:rPr>
                <w:color w:val="000000"/>
                <w:kern w:val="0"/>
                <w:sz w:val="24"/>
                <w:szCs w:val="24"/>
              </w:rPr>
              <w:t>9.68</w:t>
            </w:r>
          </w:p>
        </w:tc>
      </w:tr>
      <w:tr w:rsidR="00C13D32">
        <w:tc>
          <w:tcPr>
            <w:tcW w:w="0" w:type="auto"/>
            <w:vAlign w:val="center"/>
          </w:tcPr>
          <w:p w:rsidR="00C13D32" w:rsidRDefault="00CB6F2D">
            <w:pPr>
              <w:jc w:val="center"/>
            </w:pPr>
            <w:r>
              <w:rPr>
                <w:color w:val="000000"/>
                <w:kern w:val="0"/>
                <w:sz w:val="24"/>
                <w:szCs w:val="24"/>
              </w:rPr>
              <w:t>3</w:t>
            </w:r>
          </w:p>
        </w:tc>
        <w:tc>
          <w:tcPr>
            <w:tcW w:w="0" w:type="auto"/>
            <w:vAlign w:val="center"/>
          </w:tcPr>
          <w:p w:rsidR="00C13D32" w:rsidRDefault="00CB6F2D">
            <w:pPr>
              <w:jc w:val="center"/>
            </w:pPr>
            <w:r>
              <w:rPr>
                <w:color w:val="000000"/>
                <w:kern w:val="0"/>
                <w:sz w:val="24"/>
                <w:szCs w:val="24"/>
              </w:rPr>
              <w:t>600519</w:t>
            </w:r>
          </w:p>
        </w:tc>
        <w:tc>
          <w:tcPr>
            <w:tcW w:w="0" w:type="auto"/>
            <w:vAlign w:val="center"/>
          </w:tcPr>
          <w:p w:rsidR="00C13D32" w:rsidRDefault="00CB6F2D">
            <w:pPr>
              <w:jc w:val="center"/>
            </w:pPr>
            <w:r>
              <w:rPr>
                <w:color w:val="000000"/>
                <w:kern w:val="0"/>
                <w:sz w:val="24"/>
                <w:szCs w:val="24"/>
              </w:rPr>
              <w:t>贵州茅台</w:t>
            </w:r>
          </w:p>
        </w:tc>
        <w:tc>
          <w:tcPr>
            <w:tcW w:w="0" w:type="auto"/>
            <w:vAlign w:val="center"/>
          </w:tcPr>
          <w:p w:rsidR="00C13D32" w:rsidRDefault="00CB6F2D">
            <w:pPr>
              <w:jc w:val="right"/>
            </w:pPr>
            <w:r>
              <w:rPr>
                <w:color w:val="000000"/>
                <w:kern w:val="0"/>
                <w:sz w:val="24"/>
                <w:szCs w:val="24"/>
              </w:rPr>
              <w:t>1,662,563</w:t>
            </w:r>
          </w:p>
        </w:tc>
        <w:tc>
          <w:tcPr>
            <w:tcW w:w="0" w:type="auto"/>
            <w:vAlign w:val="center"/>
          </w:tcPr>
          <w:p w:rsidR="00C13D32" w:rsidRDefault="00CB6F2D">
            <w:pPr>
              <w:jc w:val="right"/>
            </w:pPr>
            <w:r>
              <w:rPr>
                <w:color w:val="000000"/>
                <w:kern w:val="0"/>
                <w:sz w:val="24"/>
                <w:szCs w:val="24"/>
              </w:rPr>
              <w:t>1,966,812,029.00</w:t>
            </w:r>
          </w:p>
        </w:tc>
        <w:tc>
          <w:tcPr>
            <w:tcW w:w="0" w:type="auto"/>
            <w:vAlign w:val="center"/>
          </w:tcPr>
          <w:p w:rsidR="00C13D32" w:rsidRDefault="00CB6F2D">
            <w:pPr>
              <w:jc w:val="right"/>
            </w:pPr>
            <w:r>
              <w:rPr>
                <w:color w:val="000000"/>
                <w:kern w:val="0"/>
                <w:sz w:val="24"/>
                <w:szCs w:val="24"/>
              </w:rPr>
              <w:t>9.58</w:t>
            </w:r>
          </w:p>
        </w:tc>
      </w:tr>
      <w:tr w:rsidR="00C13D32">
        <w:tc>
          <w:tcPr>
            <w:tcW w:w="0" w:type="auto"/>
            <w:vAlign w:val="center"/>
          </w:tcPr>
          <w:p w:rsidR="00C13D32" w:rsidRDefault="00CB6F2D">
            <w:pPr>
              <w:jc w:val="center"/>
            </w:pPr>
            <w:r>
              <w:rPr>
                <w:color w:val="000000"/>
                <w:kern w:val="0"/>
                <w:sz w:val="24"/>
                <w:szCs w:val="24"/>
              </w:rPr>
              <w:t>4</w:t>
            </w:r>
          </w:p>
        </w:tc>
        <w:tc>
          <w:tcPr>
            <w:tcW w:w="0" w:type="auto"/>
            <w:vAlign w:val="center"/>
          </w:tcPr>
          <w:p w:rsidR="00C13D32" w:rsidRDefault="00CB6F2D">
            <w:pPr>
              <w:jc w:val="center"/>
            </w:pPr>
            <w:r>
              <w:rPr>
                <w:color w:val="000000"/>
                <w:kern w:val="0"/>
                <w:sz w:val="24"/>
                <w:szCs w:val="24"/>
              </w:rPr>
              <w:t>000858</w:t>
            </w:r>
          </w:p>
        </w:tc>
        <w:tc>
          <w:tcPr>
            <w:tcW w:w="0" w:type="auto"/>
            <w:vAlign w:val="center"/>
          </w:tcPr>
          <w:p w:rsidR="00C13D32" w:rsidRDefault="00CB6F2D">
            <w:pPr>
              <w:jc w:val="center"/>
            </w:pPr>
            <w:r>
              <w:rPr>
                <w:color w:val="000000"/>
                <w:kern w:val="0"/>
                <w:sz w:val="24"/>
                <w:szCs w:val="24"/>
              </w:rPr>
              <w:t>五粮液</w:t>
            </w:r>
          </w:p>
        </w:tc>
        <w:tc>
          <w:tcPr>
            <w:tcW w:w="0" w:type="auto"/>
            <w:vAlign w:val="center"/>
          </w:tcPr>
          <w:p w:rsidR="00C13D32" w:rsidRDefault="00CB6F2D">
            <w:pPr>
              <w:jc w:val="right"/>
            </w:pPr>
            <w:r>
              <w:rPr>
                <w:color w:val="000000"/>
                <w:kern w:val="0"/>
                <w:sz w:val="24"/>
                <w:szCs w:val="24"/>
              </w:rPr>
              <w:t>14,772,807</w:t>
            </w:r>
          </w:p>
        </w:tc>
        <w:tc>
          <w:tcPr>
            <w:tcW w:w="0" w:type="auto"/>
            <w:vAlign w:val="center"/>
          </w:tcPr>
          <w:p w:rsidR="00C13D32" w:rsidRDefault="00CB6F2D">
            <w:pPr>
              <w:jc w:val="right"/>
            </w:pPr>
            <w:r>
              <w:rPr>
                <w:color w:val="000000"/>
                <w:kern w:val="0"/>
                <w:sz w:val="24"/>
                <w:szCs w:val="24"/>
              </w:rPr>
              <w:t>1,964,931,059.07</w:t>
            </w:r>
          </w:p>
        </w:tc>
        <w:tc>
          <w:tcPr>
            <w:tcW w:w="0" w:type="auto"/>
            <w:vAlign w:val="center"/>
          </w:tcPr>
          <w:p w:rsidR="00C13D32" w:rsidRDefault="00CB6F2D">
            <w:pPr>
              <w:jc w:val="right"/>
            </w:pPr>
            <w:r>
              <w:rPr>
                <w:color w:val="000000"/>
                <w:kern w:val="0"/>
                <w:sz w:val="24"/>
                <w:szCs w:val="24"/>
              </w:rPr>
              <w:t>9.57</w:t>
            </w:r>
          </w:p>
        </w:tc>
      </w:tr>
      <w:tr w:rsidR="00C13D32">
        <w:tc>
          <w:tcPr>
            <w:tcW w:w="0" w:type="auto"/>
            <w:vAlign w:val="center"/>
          </w:tcPr>
          <w:p w:rsidR="00C13D32" w:rsidRDefault="00CB6F2D">
            <w:pPr>
              <w:jc w:val="center"/>
            </w:pPr>
            <w:r>
              <w:rPr>
                <w:color w:val="000000"/>
                <w:kern w:val="0"/>
                <w:sz w:val="24"/>
                <w:szCs w:val="24"/>
              </w:rPr>
              <w:t>5</w:t>
            </w:r>
          </w:p>
        </w:tc>
        <w:tc>
          <w:tcPr>
            <w:tcW w:w="0" w:type="auto"/>
            <w:vAlign w:val="center"/>
          </w:tcPr>
          <w:p w:rsidR="00C13D32" w:rsidRDefault="00CB6F2D">
            <w:pPr>
              <w:jc w:val="center"/>
            </w:pPr>
            <w:r>
              <w:rPr>
                <w:color w:val="000000"/>
                <w:kern w:val="0"/>
                <w:sz w:val="24"/>
                <w:szCs w:val="24"/>
              </w:rPr>
              <w:t>000568</w:t>
            </w:r>
          </w:p>
        </w:tc>
        <w:tc>
          <w:tcPr>
            <w:tcW w:w="0" w:type="auto"/>
            <w:vAlign w:val="center"/>
          </w:tcPr>
          <w:p w:rsidR="00C13D32" w:rsidRDefault="00CB6F2D">
            <w:pPr>
              <w:jc w:val="center"/>
            </w:pPr>
            <w:r>
              <w:rPr>
                <w:color w:val="000000"/>
                <w:kern w:val="0"/>
                <w:sz w:val="24"/>
                <w:szCs w:val="24"/>
              </w:rPr>
              <w:t>泸州老窖</w:t>
            </w:r>
          </w:p>
        </w:tc>
        <w:tc>
          <w:tcPr>
            <w:tcW w:w="0" w:type="auto"/>
            <w:vAlign w:val="center"/>
          </w:tcPr>
          <w:p w:rsidR="00C13D32" w:rsidRDefault="00CB6F2D">
            <w:pPr>
              <w:jc w:val="right"/>
            </w:pPr>
            <w:r>
              <w:rPr>
                <w:color w:val="000000"/>
                <w:kern w:val="0"/>
                <w:sz w:val="24"/>
                <w:szCs w:val="24"/>
              </w:rPr>
              <w:t>20,829,830</w:t>
            </w:r>
          </w:p>
        </w:tc>
        <w:tc>
          <w:tcPr>
            <w:tcW w:w="0" w:type="auto"/>
            <w:vAlign w:val="center"/>
          </w:tcPr>
          <w:p w:rsidR="00C13D32" w:rsidRDefault="00CB6F2D">
            <w:pPr>
              <w:jc w:val="right"/>
            </w:pPr>
            <w:r>
              <w:rPr>
                <w:color w:val="000000"/>
                <w:kern w:val="0"/>
                <w:sz w:val="24"/>
                <w:szCs w:val="24"/>
              </w:rPr>
              <w:t>1,805,529,664.40</w:t>
            </w:r>
          </w:p>
        </w:tc>
        <w:tc>
          <w:tcPr>
            <w:tcW w:w="0" w:type="auto"/>
            <w:vAlign w:val="center"/>
          </w:tcPr>
          <w:p w:rsidR="00C13D32" w:rsidRDefault="00CB6F2D">
            <w:pPr>
              <w:jc w:val="right"/>
            </w:pPr>
            <w:r>
              <w:rPr>
                <w:color w:val="000000"/>
                <w:kern w:val="0"/>
                <w:sz w:val="24"/>
                <w:szCs w:val="24"/>
              </w:rPr>
              <w:t>8.79</w:t>
            </w:r>
          </w:p>
        </w:tc>
      </w:tr>
      <w:tr w:rsidR="00C13D32">
        <w:tc>
          <w:tcPr>
            <w:tcW w:w="0" w:type="auto"/>
            <w:vAlign w:val="center"/>
          </w:tcPr>
          <w:p w:rsidR="00C13D32" w:rsidRDefault="00CB6F2D">
            <w:pPr>
              <w:jc w:val="center"/>
            </w:pPr>
            <w:r>
              <w:rPr>
                <w:color w:val="000000"/>
                <w:kern w:val="0"/>
                <w:sz w:val="24"/>
                <w:szCs w:val="24"/>
              </w:rPr>
              <w:t>6</w:t>
            </w:r>
          </w:p>
        </w:tc>
        <w:tc>
          <w:tcPr>
            <w:tcW w:w="0" w:type="auto"/>
            <w:vAlign w:val="center"/>
          </w:tcPr>
          <w:p w:rsidR="00C13D32" w:rsidRDefault="00CB6F2D">
            <w:pPr>
              <w:jc w:val="center"/>
            </w:pPr>
            <w:r>
              <w:rPr>
                <w:color w:val="000000"/>
                <w:kern w:val="0"/>
                <w:sz w:val="24"/>
                <w:szCs w:val="24"/>
              </w:rPr>
              <w:t>000860</w:t>
            </w:r>
          </w:p>
        </w:tc>
        <w:tc>
          <w:tcPr>
            <w:tcW w:w="0" w:type="auto"/>
            <w:vAlign w:val="center"/>
          </w:tcPr>
          <w:p w:rsidR="00C13D32" w:rsidRDefault="00CB6F2D">
            <w:pPr>
              <w:jc w:val="center"/>
            </w:pPr>
            <w:r>
              <w:rPr>
                <w:color w:val="000000"/>
                <w:kern w:val="0"/>
                <w:sz w:val="24"/>
                <w:szCs w:val="24"/>
              </w:rPr>
              <w:t>顺鑫农业</w:t>
            </w:r>
          </w:p>
        </w:tc>
        <w:tc>
          <w:tcPr>
            <w:tcW w:w="0" w:type="auto"/>
            <w:vAlign w:val="center"/>
          </w:tcPr>
          <w:p w:rsidR="00C13D32" w:rsidRDefault="00CB6F2D">
            <w:pPr>
              <w:jc w:val="right"/>
            </w:pPr>
            <w:r>
              <w:rPr>
                <w:color w:val="000000"/>
                <w:kern w:val="0"/>
                <w:sz w:val="24"/>
                <w:szCs w:val="24"/>
              </w:rPr>
              <w:t>33,093,669</w:t>
            </w:r>
          </w:p>
        </w:tc>
        <w:tc>
          <w:tcPr>
            <w:tcW w:w="0" w:type="auto"/>
            <w:vAlign w:val="center"/>
          </w:tcPr>
          <w:p w:rsidR="00C13D32" w:rsidRDefault="00CB6F2D">
            <w:pPr>
              <w:jc w:val="right"/>
            </w:pPr>
            <w:r>
              <w:rPr>
                <w:color w:val="000000"/>
                <w:kern w:val="0"/>
                <w:sz w:val="24"/>
                <w:szCs w:val="24"/>
              </w:rPr>
              <w:t>1,743,374,482.92</w:t>
            </w:r>
          </w:p>
        </w:tc>
        <w:tc>
          <w:tcPr>
            <w:tcW w:w="0" w:type="auto"/>
            <w:vAlign w:val="center"/>
          </w:tcPr>
          <w:p w:rsidR="00C13D32" w:rsidRDefault="00CB6F2D">
            <w:pPr>
              <w:jc w:val="right"/>
            </w:pPr>
            <w:r>
              <w:rPr>
                <w:color w:val="000000"/>
                <w:kern w:val="0"/>
                <w:sz w:val="24"/>
                <w:szCs w:val="24"/>
              </w:rPr>
              <w:t>8.49</w:t>
            </w:r>
          </w:p>
        </w:tc>
      </w:tr>
      <w:tr w:rsidR="00C13D32">
        <w:tc>
          <w:tcPr>
            <w:tcW w:w="0" w:type="auto"/>
            <w:vAlign w:val="center"/>
          </w:tcPr>
          <w:p w:rsidR="00C13D32" w:rsidRDefault="00CB6F2D">
            <w:pPr>
              <w:jc w:val="center"/>
            </w:pPr>
            <w:r>
              <w:rPr>
                <w:color w:val="000000"/>
                <w:kern w:val="0"/>
                <w:sz w:val="24"/>
                <w:szCs w:val="24"/>
              </w:rPr>
              <w:t>7</w:t>
            </w:r>
          </w:p>
        </w:tc>
        <w:tc>
          <w:tcPr>
            <w:tcW w:w="0" w:type="auto"/>
            <w:vAlign w:val="center"/>
          </w:tcPr>
          <w:p w:rsidR="00C13D32" w:rsidRDefault="00CB6F2D">
            <w:pPr>
              <w:jc w:val="center"/>
            </w:pPr>
            <w:r>
              <w:rPr>
                <w:color w:val="000000"/>
                <w:kern w:val="0"/>
                <w:sz w:val="24"/>
                <w:szCs w:val="24"/>
              </w:rPr>
              <w:t>000596</w:t>
            </w:r>
          </w:p>
        </w:tc>
        <w:tc>
          <w:tcPr>
            <w:tcW w:w="0" w:type="auto"/>
            <w:vAlign w:val="center"/>
          </w:tcPr>
          <w:p w:rsidR="00C13D32" w:rsidRDefault="00CB6F2D">
            <w:pPr>
              <w:jc w:val="center"/>
            </w:pPr>
            <w:r>
              <w:rPr>
                <w:color w:val="000000"/>
                <w:kern w:val="0"/>
                <w:sz w:val="24"/>
                <w:szCs w:val="24"/>
              </w:rPr>
              <w:t>古井贡酒</w:t>
            </w:r>
          </w:p>
        </w:tc>
        <w:tc>
          <w:tcPr>
            <w:tcW w:w="0" w:type="auto"/>
            <w:vAlign w:val="center"/>
          </w:tcPr>
          <w:p w:rsidR="00C13D32" w:rsidRDefault="00CB6F2D">
            <w:pPr>
              <w:jc w:val="right"/>
            </w:pPr>
            <w:r>
              <w:rPr>
                <w:color w:val="000000"/>
                <w:kern w:val="0"/>
                <w:sz w:val="24"/>
                <w:szCs w:val="24"/>
              </w:rPr>
              <w:t>12,324,779</w:t>
            </w:r>
          </w:p>
        </w:tc>
        <w:tc>
          <w:tcPr>
            <w:tcW w:w="0" w:type="auto"/>
            <w:vAlign w:val="center"/>
          </w:tcPr>
          <w:p w:rsidR="00C13D32" w:rsidRDefault="00CB6F2D">
            <w:pPr>
              <w:jc w:val="right"/>
            </w:pPr>
            <w:r>
              <w:rPr>
                <w:color w:val="000000"/>
                <w:kern w:val="0"/>
                <w:sz w:val="24"/>
                <w:szCs w:val="24"/>
              </w:rPr>
              <w:t>1,675,183,961.68</w:t>
            </w:r>
          </w:p>
        </w:tc>
        <w:tc>
          <w:tcPr>
            <w:tcW w:w="0" w:type="auto"/>
            <w:vAlign w:val="center"/>
          </w:tcPr>
          <w:p w:rsidR="00C13D32" w:rsidRDefault="00CB6F2D">
            <w:pPr>
              <w:jc w:val="right"/>
            </w:pPr>
            <w:r>
              <w:rPr>
                <w:color w:val="000000"/>
                <w:kern w:val="0"/>
                <w:sz w:val="24"/>
                <w:szCs w:val="24"/>
              </w:rPr>
              <w:t>8.16</w:t>
            </w:r>
          </w:p>
        </w:tc>
      </w:tr>
      <w:tr w:rsidR="00C13D32">
        <w:tc>
          <w:tcPr>
            <w:tcW w:w="0" w:type="auto"/>
            <w:vAlign w:val="center"/>
          </w:tcPr>
          <w:p w:rsidR="00C13D32" w:rsidRDefault="00CB6F2D">
            <w:pPr>
              <w:jc w:val="center"/>
            </w:pPr>
            <w:r>
              <w:rPr>
                <w:color w:val="000000"/>
                <w:kern w:val="0"/>
                <w:sz w:val="24"/>
                <w:szCs w:val="24"/>
              </w:rPr>
              <w:t>8</w:t>
            </w:r>
          </w:p>
        </w:tc>
        <w:tc>
          <w:tcPr>
            <w:tcW w:w="0" w:type="auto"/>
            <w:vAlign w:val="center"/>
          </w:tcPr>
          <w:p w:rsidR="00C13D32" w:rsidRDefault="00CB6F2D">
            <w:pPr>
              <w:jc w:val="center"/>
            </w:pPr>
            <w:r>
              <w:rPr>
                <w:color w:val="000000"/>
                <w:kern w:val="0"/>
                <w:sz w:val="24"/>
                <w:szCs w:val="24"/>
              </w:rPr>
              <w:t>600809</w:t>
            </w:r>
          </w:p>
        </w:tc>
        <w:tc>
          <w:tcPr>
            <w:tcW w:w="0" w:type="auto"/>
            <w:vAlign w:val="center"/>
          </w:tcPr>
          <w:p w:rsidR="00C13D32" w:rsidRDefault="00CB6F2D">
            <w:pPr>
              <w:jc w:val="center"/>
            </w:pPr>
            <w:r>
              <w:rPr>
                <w:color w:val="000000"/>
                <w:kern w:val="0"/>
                <w:sz w:val="24"/>
                <w:szCs w:val="24"/>
              </w:rPr>
              <w:t>山西汾酒</w:t>
            </w:r>
          </w:p>
        </w:tc>
        <w:tc>
          <w:tcPr>
            <w:tcW w:w="0" w:type="auto"/>
            <w:vAlign w:val="center"/>
          </w:tcPr>
          <w:p w:rsidR="00C13D32" w:rsidRDefault="00CB6F2D">
            <w:pPr>
              <w:jc w:val="right"/>
            </w:pPr>
            <w:r>
              <w:rPr>
                <w:color w:val="000000"/>
                <w:kern w:val="0"/>
                <w:sz w:val="24"/>
                <w:szCs w:val="24"/>
              </w:rPr>
              <w:t>17,962,581</w:t>
            </w:r>
          </w:p>
        </w:tc>
        <w:tc>
          <w:tcPr>
            <w:tcW w:w="0" w:type="auto"/>
            <w:vAlign w:val="center"/>
          </w:tcPr>
          <w:p w:rsidR="00C13D32" w:rsidRDefault="00CB6F2D">
            <w:pPr>
              <w:jc w:val="right"/>
            </w:pPr>
            <w:r>
              <w:rPr>
                <w:color w:val="000000"/>
                <w:kern w:val="0"/>
                <w:sz w:val="24"/>
                <w:szCs w:val="24"/>
              </w:rPr>
              <w:t>1,611,243,515.70</w:t>
            </w:r>
          </w:p>
        </w:tc>
        <w:tc>
          <w:tcPr>
            <w:tcW w:w="0" w:type="auto"/>
            <w:vAlign w:val="center"/>
          </w:tcPr>
          <w:p w:rsidR="00C13D32" w:rsidRDefault="00CB6F2D">
            <w:pPr>
              <w:jc w:val="right"/>
            </w:pPr>
            <w:r>
              <w:rPr>
                <w:color w:val="000000"/>
                <w:kern w:val="0"/>
                <w:sz w:val="24"/>
                <w:szCs w:val="24"/>
              </w:rPr>
              <w:t>7.85</w:t>
            </w:r>
          </w:p>
        </w:tc>
      </w:tr>
      <w:tr w:rsidR="00C13D32">
        <w:tc>
          <w:tcPr>
            <w:tcW w:w="0" w:type="auto"/>
            <w:vAlign w:val="center"/>
          </w:tcPr>
          <w:p w:rsidR="00C13D32" w:rsidRDefault="00CB6F2D">
            <w:pPr>
              <w:jc w:val="center"/>
            </w:pPr>
            <w:r>
              <w:rPr>
                <w:color w:val="000000"/>
                <w:kern w:val="0"/>
                <w:sz w:val="24"/>
                <w:szCs w:val="24"/>
              </w:rPr>
              <w:t>9</w:t>
            </w:r>
          </w:p>
        </w:tc>
        <w:tc>
          <w:tcPr>
            <w:tcW w:w="0" w:type="auto"/>
            <w:vAlign w:val="center"/>
          </w:tcPr>
          <w:p w:rsidR="00C13D32" w:rsidRDefault="00CB6F2D">
            <w:pPr>
              <w:jc w:val="center"/>
            </w:pPr>
            <w:r>
              <w:rPr>
                <w:color w:val="000000"/>
                <w:kern w:val="0"/>
                <w:sz w:val="24"/>
                <w:szCs w:val="24"/>
              </w:rPr>
              <w:t>600887</w:t>
            </w:r>
          </w:p>
        </w:tc>
        <w:tc>
          <w:tcPr>
            <w:tcW w:w="0" w:type="auto"/>
            <w:vAlign w:val="center"/>
          </w:tcPr>
          <w:p w:rsidR="00C13D32" w:rsidRDefault="00CB6F2D">
            <w:pPr>
              <w:jc w:val="center"/>
            </w:pPr>
            <w:r>
              <w:rPr>
                <w:color w:val="000000"/>
                <w:kern w:val="0"/>
                <w:sz w:val="24"/>
                <w:szCs w:val="24"/>
              </w:rPr>
              <w:t>伊利股份</w:t>
            </w:r>
          </w:p>
        </w:tc>
        <w:tc>
          <w:tcPr>
            <w:tcW w:w="0" w:type="auto"/>
            <w:vAlign w:val="center"/>
          </w:tcPr>
          <w:p w:rsidR="00C13D32" w:rsidRDefault="00CB6F2D">
            <w:pPr>
              <w:jc w:val="right"/>
            </w:pPr>
            <w:r>
              <w:rPr>
                <w:color w:val="000000"/>
                <w:kern w:val="0"/>
                <w:sz w:val="24"/>
                <w:szCs w:val="24"/>
              </w:rPr>
              <w:t>17,292,229</w:t>
            </w:r>
          </w:p>
        </w:tc>
        <w:tc>
          <w:tcPr>
            <w:tcW w:w="0" w:type="auto"/>
            <w:vAlign w:val="center"/>
          </w:tcPr>
          <w:p w:rsidR="00C13D32" w:rsidRDefault="00CB6F2D">
            <w:pPr>
              <w:jc w:val="right"/>
            </w:pPr>
            <w:r>
              <w:rPr>
                <w:color w:val="000000"/>
                <w:kern w:val="0"/>
                <w:sz w:val="24"/>
                <w:szCs w:val="24"/>
              </w:rPr>
              <w:t>535,021,565.26</w:t>
            </w:r>
          </w:p>
        </w:tc>
        <w:tc>
          <w:tcPr>
            <w:tcW w:w="0" w:type="auto"/>
            <w:vAlign w:val="center"/>
          </w:tcPr>
          <w:p w:rsidR="00C13D32" w:rsidRDefault="00CB6F2D">
            <w:pPr>
              <w:jc w:val="right"/>
            </w:pPr>
            <w:r>
              <w:rPr>
                <w:color w:val="000000"/>
                <w:kern w:val="0"/>
                <w:sz w:val="24"/>
                <w:szCs w:val="24"/>
              </w:rPr>
              <w:t>2.61</w:t>
            </w:r>
          </w:p>
        </w:tc>
      </w:tr>
      <w:tr w:rsidR="00C13D32">
        <w:tc>
          <w:tcPr>
            <w:tcW w:w="0" w:type="auto"/>
            <w:vAlign w:val="center"/>
          </w:tcPr>
          <w:p w:rsidR="00C13D32" w:rsidRDefault="00CB6F2D">
            <w:pPr>
              <w:jc w:val="center"/>
            </w:pPr>
            <w:r>
              <w:rPr>
                <w:color w:val="000000"/>
                <w:kern w:val="0"/>
                <w:sz w:val="24"/>
                <w:szCs w:val="24"/>
              </w:rPr>
              <w:t>10</w:t>
            </w:r>
          </w:p>
        </w:tc>
        <w:tc>
          <w:tcPr>
            <w:tcW w:w="0" w:type="auto"/>
            <w:vAlign w:val="center"/>
          </w:tcPr>
          <w:p w:rsidR="00C13D32" w:rsidRDefault="00CB6F2D">
            <w:pPr>
              <w:jc w:val="center"/>
            </w:pPr>
            <w:r>
              <w:rPr>
                <w:color w:val="000000"/>
                <w:kern w:val="0"/>
                <w:sz w:val="24"/>
                <w:szCs w:val="24"/>
              </w:rPr>
              <w:t>000423</w:t>
            </w:r>
          </w:p>
        </w:tc>
        <w:tc>
          <w:tcPr>
            <w:tcW w:w="0" w:type="auto"/>
            <w:vAlign w:val="center"/>
          </w:tcPr>
          <w:p w:rsidR="00C13D32" w:rsidRDefault="00CB6F2D">
            <w:pPr>
              <w:jc w:val="center"/>
            </w:pPr>
            <w:r>
              <w:rPr>
                <w:color w:val="000000"/>
                <w:kern w:val="0"/>
                <w:sz w:val="24"/>
                <w:szCs w:val="24"/>
              </w:rPr>
              <w:t>东阿阿胶</w:t>
            </w:r>
          </w:p>
        </w:tc>
        <w:tc>
          <w:tcPr>
            <w:tcW w:w="0" w:type="auto"/>
            <w:vAlign w:val="center"/>
          </w:tcPr>
          <w:p w:rsidR="00C13D32" w:rsidRDefault="00CB6F2D">
            <w:pPr>
              <w:jc w:val="right"/>
            </w:pPr>
            <w:r>
              <w:rPr>
                <w:color w:val="000000"/>
                <w:kern w:val="0"/>
                <w:sz w:val="24"/>
                <w:szCs w:val="24"/>
              </w:rPr>
              <w:t>11,137,020</w:t>
            </w:r>
          </w:p>
        </w:tc>
        <w:tc>
          <w:tcPr>
            <w:tcW w:w="0" w:type="auto"/>
            <w:vAlign w:val="center"/>
          </w:tcPr>
          <w:p w:rsidR="00C13D32" w:rsidRDefault="00CB6F2D">
            <w:pPr>
              <w:jc w:val="right"/>
            </w:pPr>
            <w:r>
              <w:rPr>
                <w:color w:val="000000"/>
                <w:kern w:val="0"/>
                <w:sz w:val="24"/>
                <w:szCs w:val="24"/>
              </w:rPr>
              <w:t>393,916,397.40</w:t>
            </w:r>
          </w:p>
        </w:tc>
        <w:tc>
          <w:tcPr>
            <w:tcW w:w="0" w:type="auto"/>
            <w:vAlign w:val="center"/>
          </w:tcPr>
          <w:p w:rsidR="00C13D32" w:rsidRDefault="00CB6F2D">
            <w:pPr>
              <w:jc w:val="right"/>
            </w:pPr>
            <w:r>
              <w:rPr>
                <w:color w:val="000000"/>
                <w:kern w:val="0"/>
                <w:sz w:val="24"/>
                <w:szCs w:val="24"/>
              </w:rPr>
              <w:t>1.92</w:t>
            </w:r>
          </w:p>
        </w:tc>
      </w:tr>
    </w:tbl>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w="8755" w:type="dxa"/>
        <w:jc w:val="center"/>
        <w:tblLayout w:type="fixed"/>
        <w:tblLook w:val="04A0" w:firstRow="1" w:lastRow="0" w:firstColumn="1" w:lastColumn="0" w:noHBand="0" w:noVBand="1"/>
      </w:tblPr>
      <w:tblGrid>
        <w:gridCol w:w="817"/>
        <w:gridCol w:w="3260"/>
        <w:gridCol w:w="2949"/>
        <w:gridCol w:w="1729"/>
      </w:tblGrid>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序号</w:t>
            </w:r>
          </w:p>
        </w:tc>
        <w:tc>
          <w:tcPr>
            <w:tcW w:w="3260"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债券品种</w:t>
            </w:r>
          </w:p>
        </w:tc>
        <w:tc>
          <w:tcPr>
            <w:tcW w:w="294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公允价值</w:t>
            </w:r>
            <w:r w:rsidRPr="00283CAD">
              <w:rPr>
                <w:rFonts w:eastAsiaTheme="minorEastAsia"/>
                <w:color w:val="000000" w:themeColor="text1"/>
                <w:sz w:val="24"/>
                <w:szCs w:val="24"/>
              </w:rPr>
              <w:t>(</w:t>
            </w:r>
            <w:r w:rsidRPr="00283CAD">
              <w:rPr>
                <w:rFonts w:eastAsiaTheme="minorEastAsia"/>
                <w:color w:val="000000" w:themeColor="text1"/>
                <w:sz w:val="24"/>
                <w:szCs w:val="24"/>
              </w:rPr>
              <w:t>元</w:t>
            </w: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占基金资产净值比例</w:t>
            </w:r>
            <w:r w:rsidRPr="00283CAD">
              <w:rPr>
                <w:rFonts w:eastAsiaTheme="minorEastAsia"/>
                <w:color w:val="000000" w:themeColor="text1"/>
                <w:sz w:val="24"/>
                <w:szCs w:val="24"/>
              </w:rPr>
              <w:t>(</w:t>
            </w:r>
            <w:r w:rsidRPr="00283CAD">
              <w:rPr>
                <w:rFonts w:eastAsiaTheme="minorEastAsia"/>
                <w:color w:val="000000" w:themeColor="text1"/>
                <w:sz w:val="24"/>
                <w:szCs w:val="24"/>
              </w:rPr>
              <w:t>％</w:t>
            </w: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国家债券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2</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央行票据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3</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金融债券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884,153,000.00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4.31</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其中：政策性金融债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884,153,000.00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4.31</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4</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5</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企业短期融资券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6</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中期票据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7</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可转债</w:t>
            </w:r>
            <w:r w:rsidR="004B5343" w:rsidRPr="004B5343">
              <w:rPr>
                <w:rFonts w:eastAsiaTheme="minorEastAsia" w:hint="eastAsia"/>
                <w:color w:val="000000" w:themeColor="text1"/>
                <w:sz w:val="24"/>
                <w:szCs w:val="24"/>
              </w:rPr>
              <w:t>（可交换债）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18,006,739.00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0.09</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8</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同业存单</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9</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其他</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10</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合计</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902,159,739.00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4.39</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560"/>
        <w:gridCol w:w="1984"/>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债券名称</w:t>
            </w:r>
          </w:p>
        </w:tc>
        <w:tc>
          <w:tcPr>
            <w:tcW w:w="1560"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w="198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C13D32">
        <w:tc>
          <w:tcPr>
            <w:tcW w:w="0" w:type="auto"/>
            <w:vAlign w:val="center"/>
          </w:tcPr>
          <w:p w:rsidR="00C13D32" w:rsidRDefault="00CB6F2D">
            <w:pPr>
              <w:jc w:val="center"/>
            </w:pPr>
            <w:r>
              <w:rPr>
                <w:color w:val="000000"/>
                <w:kern w:val="0"/>
                <w:sz w:val="24"/>
                <w:szCs w:val="24"/>
              </w:rPr>
              <w:t>1</w:t>
            </w:r>
          </w:p>
        </w:tc>
        <w:tc>
          <w:tcPr>
            <w:tcW w:w="0" w:type="auto"/>
            <w:vAlign w:val="center"/>
          </w:tcPr>
          <w:p w:rsidR="00C13D32" w:rsidRDefault="00CB6F2D">
            <w:pPr>
              <w:jc w:val="center"/>
            </w:pPr>
            <w:r>
              <w:rPr>
                <w:color w:val="000000"/>
                <w:kern w:val="0"/>
                <w:sz w:val="24"/>
                <w:szCs w:val="24"/>
              </w:rPr>
              <w:t>050203</w:t>
            </w:r>
          </w:p>
        </w:tc>
        <w:tc>
          <w:tcPr>
            <w:tcW w:w="0" w:type="auto"/>
            <w:vAlign w:val="center"/>
          </w:tcPr>
          <w:p w:rsidR="00C13D32" w:rsidRDefault="00CB6F2D">
            <w:pPr>
              <w:jc w:val="center"/>
            </w:pPr>
            <w:r>
              <w:rPr>
                <w:color w:val="000000"/>
                <w:kern w:val="0"/>
                <w:sz w:val="24"/>
                <w:szCs w:val="24"/>
              </w:rPr>
              <w:t>05</w:t>
            </w:r>
            <w:r>
              <w:rPr>
                <w:color w:val="000000"/>
                <w:kern w:val="0"/>
                <w:sz w:val="24"/>
                <w:szCs w:val="24"/>
              </w:rPr>
              <w:t>国开</w:t>
            </w:r>
            <w:r>
              <w:rPr>
                <w:color w:val="000000"/>
                <w:kern w:val="0"/>
                <w:sz w:val="24"/>
                <w:szCs w:val="24"/>
              </w:rPr>
              <w:t>03</w:t>
            </w:r>
          </w:p>
        </w:tc>
        <w:tc>
          <w:tcPr>
            <w:tcW w:w="0" w:type="auto"/>
            <w:vAlign w:val="center"/>
          </w:tcPr>
          <w:p w:rsidR="00C13D32" w:rsidRDefault="00CB6F2D">
            <w:pPr>
              <w:jc w:val="right"/>
            </w:pPr>
            <w:r>
              <w:rPr>
                <w:color w:val="000000"/>
                <w:kern w:val="0"/>
                <w:sz w:val="24"/>
                <w:szCs w:val="24"/>
              </w:rPr>
              <w:t>3,300,000</w:t>
            </w:r>
          </w:p>
        </w:tc>
        <w:tc>
          <w:tcPr>
            <w:tcW w:w="0" w:type="auto"/>
            <w:vAlign w:val="center"/>
          </w:tcPr>
          <w:p w:rsidR="00C13D32" w:rsidRDefault="00CB6F2D">
            <w:pPr>
              <w:jc w:val="right"/>
            </w:pPr>
            <w:r>
              <w:rPr>
                <w:color w:val="000000"/>
                <w:kern w:val="0"/>
                <w:sz w:val="24"/>
                <w:szCs w:val="24"/>
              </w:rPr>
              <w:t>331,914,000.00</w:t>
            </w:r>
          </w:p>
        </w:tc>
        <w:tc>
          <w:tcPr>
            <w:tcW w:w="0" w:type="auto"/>
            <w:vAlign w:val="center"/>
          </w:tcPr>
          <w:p w:rsidR="00C13D32" w:rsidRDefault="00CB6F2D">
            <w:pPr>
              <w:jc w:val="right"/>
            </w:pPr>
            <w:r>
              <w:rPr>
                <w:color w:val="000000"/>
                <w:kern w:val="0"/>
                <w:sz w:val="24"/>
                <w:szCs w:val="24"/>
              </w:rPr>
              <w:t>1.62</w:t>
            </w:r>
          </w:p>
        </w:tc>
      </w:tr>
      <w:tr w:rsidR="00C13D32">
        <w:tc>
          <w:tcPr>
            <w:tcW w:w="0" w:type="auto"/>
            <w:vAlign w:val="center"/>
          </w:tcPr>
          <w:p w:rsidR="00C13D32" w:rsidRDefault="00CB6F2D">
            <w:pPr>
              <w:jc w:val="center"/>
            </w:pPr>
            <w:r>
              <w:rPr>
                <w:color w:val="000000"/>
                <w:kern w:val="0"/>
                <w:sz w:val="24"/>
                <w:szCs w:val="24"/>
              </w:rPr>
              <w:t>2</w:t>
            </w:r>
          </w:p>
        </w:tc>
        <w:tc>
          <w:tcPr>
            <w:tcW w:w="0" w:type="auto"/>
            <w:vAlign w:val="center"/>
          </w:tcPr>
          <w:p w:rsidR="00C13D32" w:rsidRDefault="00CB6F2D">
            <w:pPr>
              <w:jc w:val="center"/>
            </w:pPr>
            <w:r>
              <w:rPr>
                <w:color w:val="000000"/>
                <w:kern w:val="0"/>
                <w:sz w:val="24"/>
                <w:szCs w:val="24"/>
              </w:rPr>
              <w:t>150313</w:t>
            </w:r>
          </w:p>
        </w:tc>
        <w:tc>
          <w:tcPr>
            <w:tcW w:w="0" w:type="auto"/>
            <w:vAlign w:val="center"/>
          </w:tcPr>
          <w:p w:rsidR="00C13D32" w:rsidRDefault="00CB6F2D">
            <w:pPr>
              <w:jc w:val="center"/>
            </w:pPr>
            <w:r>
              <w:rPr>
                <w:color w:val="000000"/>
                <w:kern w:val="0"/>
                <w:sz w:val="24"/>
                <w:szCs w:val="24"/>
              </w:rPr>
              <w:t>15</w:t>
            </w:r>
            <w:r>
              <w:rPr>
                <w:color w:val="000000"/>
                <w:kern w:val="0"/>
                <w:sz w:val="24"/>
                <w:szCs w:val="24"/>
              </w:rPr>
              <w:t>进出</w:t>
            </w:r>
            <w:r>
              <w:rPr>
                <w:color w:val="000000"/>
                <w:kern w:val="0"/>
                <w:sz w:val="24"/>
                <w:szCs w:val="24"/>
              </w:rPr>
              <w:t>13</w:t>
            </w:r>
          </w:p>
        </w:tc>
        <w:tc>
          <w:tcPr>
            <w:tcW w:w="0" w:type="auto"/>
            <w:vAlign w:val="center"/>
          </w:tcPr>
          <w:p w:rsidR="00C13D32" w:rsidRDefault="00CB6F2D">
            <w:pPr>
              <w:jc w:val="right"/>
            </w:pPr>
            <w:r>
              <w:rPr>
                <w:color w:val="000000"/>
                <w:kern w:val="0"/>
                <w:sz w:val="24"/>
                <w:szCs w:val="24"/>
              </w:rPr>
              <w:t>1,000,000</w:t>
            </w:r>
          </w:p>
        </w:tc>
        <w:tc>
          <w:tcPr>
            <w:tcW w:w="0" w:type="auto"/>
            <w:vAlign w:val="center"/>
          </w:tcPr>
          <w:p w:rsidR="00C13D32" w:rsidRDefault="00CB6F2D">
            <w:pPr>
              <w:jc w:val="right"/>
            </w:pPr>
            <w:r>
              <w:rPr>
                <w:color w:val="000000"/>
                <w:kern w:val="0"/>
                <w:sz w:val="24"/>
                <w:szCs w:val="24"/>
              </w:rPr>
              <w:t>100,650,000.00</w:t>
            </w:r>
          </w:p>
        </w:tc>
        <w:tc>
          <w:tcPr>
            <w:tcW w:w="0" w:type="auto"/>
            <w:vAlign w:val="center"/>
          </w:tcPr>
          <w:p w:rsidR="00C13D32" w:rsidRDefault="00CB6F2D">
            <w:pPr>
              <w:jc w:val="right"/>
            </w:pPr>
            <w:r>
              <w:rPr>
                <w:color w:val="000000"/>
                <w:kern w:val="0"/>
                <w:sz w:val="24"/>
                <w:szCs w:val="24"/>
              </w:rPr>
              <w:t>0.49</w:t>
            </w:r>
          </w:p>
        </w:tc>
      </w:tr>
      <w:tr w:rsidR="00C13D32">
        <w:tc>
          <w:tcPr>
            <w:tcW w:w="0" w:type="auto"/>
            <w:vAlign w:val="center"/>
          </w:tcPr>
          <w:p w:rsidR="00C13D32" w:rsidRDefault="00CB6F2D">
            <w:pPr>
              <w:jc w:val="center"/>
            </w:pPr>
            <w:r>
              <w:rPr>
                <w:color w:val="000000"/>
                <w:kern w:val="0"/>
                <w:sz w:val="24"/>
                <w:szCs w:val="24"/>
              </w:rPr>
              <w:t>3</w:t>
            </w:r>
          </w:p>
        </w:tc>
        <w:tc>
          <w:tcPr>
            <w:tcW w:w="0" w:type="auto"/>
            <w:vAlign w:val="center"/>
          </w:tcPr>
          <w:p w:rsidR="00C13D32" w:rsidRDefault="00CB6F2D">
            <w:pPr>
              <w:jc w:val="center"/>
            </w:pPr>
            <w:r>
              <w:rPr>
                <w:color w:val="000000"/>
                <w:kern w:val="0"/>
                <w:sz w:val="24"/>
                <w:szCs w:val="24"/>
              </w:rPr>
              <w:t>150415</w:t>
            </w:r>
          </w:p>
        </w:tc>
        <w:tc>
          <w:tcPr>
            <w:tcW w:w="0" w:type="auto"/>
            <w:vAlign w:val="center"/>
          </w:tcPr>
          <w:p w:rsidR="00C13D32" w:rsidRDefault="00CB6F2D">
            <w:pPr>
              <w:jc w:val="center"/>
            </w:pPr>
            <w:r>
              <w:rPr>
                <w:color w:val="000000"/>
                <w:kern w:val="0"/>
                <w:sz w:val="24"/>
                <w:szCs w:val="24"/>
              </w:rPr>
              <w:t>15</w:t>
            </w:r>
            <w:r>
              <w:rPr>
                <w:color w:val="000000"/>
                <w:kern w:val="0"/>
                <w:sz w:val="24"/>
                <w:szCs w:val="24"/>
              </w:rPr>
              <w:t>农发</w:t>
            </w:r>
            <w:r>
              <w:rPr>
                <w:color w:val="000000"/>
                <w:kern w:val="0"/>
                <w:sz w:val="24"/>
                <w:szCs w:val="24"/>
              </w:rPr>
              <w:t>15</w:t>
            </w:r>
          </w:p>
        </w:tc>
        <w:tc>
          <w:tcPr>
            <w:tcW w:w="0" w:type="auto"/>
            <w:vAlign w:val="center"/>
          </w:tcPr>
          <w:p w:rsidR="00C13D32" w:rsidRDefault="00CB6F2D">
            <w:pPr>
              <w:jc w:val="right"/>
            </w:pPr>
            <w:r>
              <w:rPr>
                <w:color w:val="000000"/>
                <w:kern w:val="0"/>
                <w:sz w:val="24"/>
                <w:szCs w:val="24"/>
              </w:rPr>
              <w:t>1,000,000</w:t>
            </w:r>
          </w:p>
        </w:tc>
        <w:tc>
          <w:tcPr>
            <w:tcW w:w="0" w:type="auto"/>
            <w:vAlign w:val="center"/>
          </w:tcPr>
          <w:p w:rsidR="00C13D32" w:rsidRDefault="00CB6F2D">
            <w:pPr>
              <w:jc w:val="right"/>
            </w:pPr>
            <w:r>
              <w:rPr>
                <w:color w:val="000000"/>
                <w:kern w:val="0"/>
                <w:sz w:val="24"/>
                <w:szCs w:val="24"/>
              </w:rPr>
              <w:t>100,590,000.00</w:t>
            </w:r>
          </w:p>
        </w:tc>
        <w:tc>
          <w:tcPr>
            <w:tcW w:w="0" w:type="auto"/>
            <w:vAlign w:val="center"/>
          </w:tcPr>
          <w:p w:rsidR="00C13D32" w:rsidRDefault="00CB6F2D">
            <w:pPr>
              <w:jc w:val="right"/>
            </w:pPr>
            <w:r>
              <w:rPr>
                <w:color w:val="000000"/>
                <w:kern w:val="0"/>
                <w:sz w:val="24"/>
                <w:szCs w:val="24"/>
              </w:rPr>
              <w:t>0.49</w:t>
            </w:r>
          </w:p>
        </w:tc>
      </w:tr>
      <w:tr w:rsidR="00C13D32">
        <w:tc>
          <w:tcPr>
            <w:tcW w:w="0" w:type="auto"/>
            <w:vAlign w:val="center"/>
          </w:tcPr>
          <w:p w:rsidR="00C13D32" w:rsidRDefault="00CB6F2D">
            <w:pPr>
              <w:jc w:val="center"/>
            </w:pPr>
            <w:r>
              <w:rPr>
                <w:color w:val="000000"/>
                <w:kern w:val="0"/>
                <w:sz w:val="24"/>
                <w:szCs w:val="24"/>
              </w:rPr>
              <w:t>4</w:t>
            </w:r>
          </w:p>
        </w:tc>
        <w:tc>
          <w:tcPr>
            <w:tcW w:w="0" w:type="auto"/>
            <w:vAlign w:val="center"/>
          </w:tcPr>
          <w:p w:rsidR="00C13D32" w:rsidRDefault="00CB6F2D">
            <w:pPr>
              <w:jc w:val="center"/>
            </w:pPr>
            <w:r>
              <w:rPr>
                <w:color w:val="000000"/>
                <w:kern w:val="0"/>
                <w:sz w:val="24"/>
                <w:szCs w:val="24"/>
              </w:rPr>
              <w:t>170205</w:t>
            </w:r>
          </w:p>
        </w:tc>
        <w:tc>
          <w:tcPr>
            <w:tcW w:w="0" w:type="auto"/>
            <w:vAlign w:val="center"/>
          </w:tcPr>
          <w:p w:rsidR="00C13D32" w:rsidRDefault="00CB6F2D">
            <w:pPr>
              <w:jc w:val="center"/>
            </w:pPr>
            <w:r>
              <w:rPr>
                <w:color w:val="000000"/>
                <w:kern w:val="0"/>
                <w:sz w:val="24"/>
                <w:szCs w:val="24"/>
              </w:rPr>
              <w:t>17</w:t>
            </w:r>
            <w:r>
              <w:rPr>
                <w:color w:val="000000"/>
                <w:kern w:val="0"/>
                <w:sz w:val="24"/>
                <w:szCs w:val="24"/>
              </w:rPr>
              <w:t>国开</w:t>
            </w:r>
            <w:r>
              <w:rPr>
                <w:color w:val="000000"/>
                <w:kern w:val="0"/>
                <w:sz w:val="24"/>
                <w:szCs w:val="24"/>
              </w:rPr>
              <w:t>05</w:t>
            </w:r>
          </w:p>
        </w:tc>
        <w:tc>
          <w:tcPr>
            <w:tcW w:w="0" w:type="auto"/>
            <w:vAlign w:val="center"/>
          </w:tcPr>
          <w:p w:rsidR="00C13D32" w:rsidRDefault="00CB6F2D">
            <w:pPr>
              <w:jc w:val="right"/>
            </w:pPr>
            <w:r>
              <w:rPr>
                <w:color w:val="000000"/>
                <w:kern w:val="0"/>
                <w:sz w:val="24"/>
                <w:szCs w:val="24"/>
              </w:rPr>
              <w:t>1,000,000</w:t>
            </w:r>
          </w:p>
        </w:tc>
        <w:tc>
          <w:tcPr>
            <w:tcW w:w="0" w:type="auto"/>
            <w:vAlign w:val="center"/>
          </w:tcPr>
          <w:p w:rsidR="00C13D32" w:rsidRDefault="00CB6F2D">
            <w:pPr>
              <w:jc w:val="right"/>
            </w:pPr>
            <w:r>
              <w:rPr>
                <w:color w:val="000000"/>
                <w:kern w:val="0"/>
                <w:sz w:val="24"/>
                <w:szCs w:val="24"/>
              </w:rPr>
              <w:t>100,460,000.00</w:t>
            </w:r>
          </w:p>
        </w:tc>
        <w:tc>
          <w:tcPr>
            <w:tcW w:w="0" w:type="auto"/>
            <w:vAlign w:val="center"/>
          </w:tcPr>
          <w:p w:rsidR="00C13D32" w:rsidRDefault="00CB6F2D">
            <w:pPr>
              <w:jc w:val="right"/>
            </w:pPr>
            <w:r>
              <w:rPr>
                <w:color w:val="000000"/>
                <w:kern w:val="0"/>
                <w:sz w:val="24"/>
                <w:szCs w:val="24"/>
              </w:rPr>
              <w:t>0.49</w:t>
            </w:r>
          </w:p>
        </w:tc>
      </w:tr>
      <w:tr w:rsidR="00C13D32">
        <w:tc>
          <w:tcPr>
            <w:tcW w:w="0" w:type="auto"/>
            <w:vAlign w:val="center"/>
          </w:tcPr>
          <w:p w:rsidR="00C13D32" w:rsidRDefault="00CB6F2D">
            <w:pPr>
              <w:jc w:val="center"/>
            </w:pPr>
            <w:r>
              <w:rPr>
                <w:color w:val="000000"/>
                <w:kern w:val="0"/>
                <w:sz w:val="24"/>
                <w:szCs w:val="24"/>
              </w:rPr>
              <w:t>5</w:t>
            </w:r>
          </w:p>
        </w:tc>
        <w:tc>
          <w:tcPr>
            <w:tcW w:w="0" w:type="auto"/>
            <w:vAlign w:val="center"/>
          </w:tcPr>
          <w:p w:rsidR="00C13D32" w:rsidRDefault="00CB6F2D">
            <w:pPr>
              <w:jc w:val="center"/>
            </w:pPr>
            <w:r>
              <w:rPr>
                <w:color w:val="000000"/>
                <w:kern w:val="0"/>
                <w:sz w:val="24"/>
                <w:szCs w:val="24"/>
              </w:rPr>
              <w:t>190304</w:t>
            </w:r>
          </w:p>
        </w:tc>
        <w:tc>
          <w:tcPr>
            <w:tcW w:w="0" w:type="auto"/>
            <w:vAlign w:val="center"/>
          </w:tcPr>
          <w:p w:rsidR="00C13D32" w:rsidRDefault="00CB6F2D">
            <w:pPr>
              <w:jc w:val="center"/>
            </w:pPr>
            <w:r>
              <w:rPr>
                <w:color w:val="000000"/>
                <w:kern w:val="0"/>
                <w:sz w:val="24"/>
                <w:szCs w:val="24"/>
              </w:rPr>
              <w:t>19</w:t>
            </w:r>
            <w:r>
              <w:rPr>
                <w:color w:val="000000"/>
                <w:kern w:val="0"/>
                <w:sz w:val="24"/>
                <w:szCs w:val="24"/>
              </w:rPr>
              <w:t>进出</w:t>
            </w:r>
            <w:r>
              <w:rPr>
                <w:color w:val="000000"/>
                <w:kern w:val="0"/>
                <w:sz w:val="24"/>
                <w:szCs w:val="24"/>
              </w:rPr>
              <w:t>04</w:t>
            </w:r>
          </w:p>
        </w:tc>
        <w:tc>
          <w:tcPr>
            <w:tcW w:w="0" w:type="auto"/>
            <w:vAlign w:val="center"/>
          </w:tcPr>
          <w:p w:rsidR="00C13D32" w:rsidRDefault="00CB6F2D">
            <w:pPr>
              <w:jc w:val="right"/>
            </w:pPr>
            <w:r>
              <w:rPr>
                <w:color w:val="000000"/>
                <w:kern w:val="0"/>
                <w:sz w:val="24"/>
                <w:szCs w:val="24"/>
              </w:rPr>
              <w:t>1,000,000</w:t>
            </w:r>
          </w:p>
        </w:tc>
        <w:tc>
          <w:tcPr>
            <w:tcW w:w="0" w:type="auto"/>
            <w:vAlign w:val="center"/>
          </w:tcPr>
          <w:p w:rsidR="00C13D32" w:rsidRDefault="00CB6F2D">
            <w:pPr>
              <w:jc w:val="right"/>
            </w:pPr>
            <w:r>
              <w:rPr>
                <w:color w:val="000000"/>
                <w:kern w:val="0"/>
                <w:sz w:val="24"/>
                <w:szCs w:val="24"/>
              </w:rPr>
              <w:t>100,170,000.00</w:t>
            </w:r>
          </w:p>
        </w:tc>
        <w:tc>
          <w:tcPr>
            <w:tcW w:w="0" w:type="auto"/>
            <w:vAlign w:val="center"/>
          </w:tcPr>
          <w:p w:rsidR="00C13D32" w:rsidRDefault="00CB6F2D">
            <w:pPr>
              <w:jc w:val="right"/>
            </w:pPr>
            <w:r>
              <w:rPr>
                <w:color w:val="000000"/>
                <w:kern w:val="0"/>
                <w:sz w:val="24"/>
                <w:szCs w:val="24"/>
              </w:rPr>
              <w:t>0.49</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1,093,158.72</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24,561,019.62</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143,106,034.90</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168,760,213.24</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1697"/>
        <w:gridCol w:w="1621"/>
      </w:tblGrid>
      <w:tr w:rsidR="00750D48" w:rsidRPr="00264E55" w:rsidTr="00B05049">
        <w:tc>
          <w:tcPr>
            <w:tcW w:w="180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729"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债券代码</w:t>
            </w:r>
          </w:p>
        </w:tc>
        <w:tc>
          <w:tcPr>
            <w:tcW w:w="165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债券名称</w:t>
            </w:r>
          </w:p>
        </w:tc>
        <w:tc>
          <w:tcPr>
            <w:tcW w:w="1697"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公允价值</w:t>
            </w:r>
            <w:r w:rsidR="005F7917" w:rsidRPr="00B227EA">
              <w:rPr>
                <w:color w:val="000000"/>
                <w:kern w:val="0"/>
                <w:sz w:val="24"/>
                <w:szCs w:val="24"/>
              </w:rPr>
              <w:t>（元）</w:t>
            </w:r>
          </w:p>
        </w:tc>
        <w:tc>
          <w:tcPr>
            <w:tcW w:w="1621"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r>
      <w:tr w:rsidR="00C13D32">
        <w:tc>
          <w:tcPr>
            <w:tcW w:w="0" w:type="auto"/>
            <w:vAlign w:val="center"/>
          </w:tcPr>
          <w:p w:rsidR="00C13D32" w:rsidRDefault="00CB6F2D">
            <w:pPr>
              <w:jc w:val="center"/>
            </w:pPr>
            <w:r>
              <w:rPr>
                <w:color w:val="000000"/>
                <w:kern w:val="0"/>
                <w:sz w:val="24"/>
                <w:szCs w:val="24"/>
              </w:rPr>
              <w:t>1</w:t>
            </w:r>
          </w:p>
        </w:tc>
        <w:tc>
          <w:tcPr>
            <w:tcW w:w="0" w:type="auto"/>
            <w:vAlign w:val="center"/>
          </w:tcPr>
          <w:p w:rsidR="00C13D32" w:rsidRDefault="00CB6F2D">
            <w:pPr>
              <w:jc w:val="center"/>
            </w:pPr>
            <w:r>
              <w:rPr>
                <w:color w:val="000000"/>
                <w:kern w:val="0"/>
                <w:sz w:val="24"/>
                <w:szCs w:val="24"/>
              </w:rPr>
              <w:t>128045</w:t>
            </w:r>
          </w:p>
        </w:tc>
        <w:tc>
          <w:tcPr>
            <w:tcW w:w="0" w:type="auto"/>
            <w:vAlign w:val="center"/>
          </w:tcPr>
          <w:p w:rsidR="00C13D32" w:rsidRDefault="00CB6F2D">
            <w:pPr>
              <w:jc w:val="center"/>
            </w:pPr>
            <w:r>
              <w:rPr>
                <w:color w:val="000000"/>
                <w:kern w:val="0"/>
                <w:sz w:val="24"/>
                <w:szCs w:val="24"/>
              </w:rPr>
              <w:t>机电转债</w:t>
            </w:r>
          </w:p>
        </w:tc>
        <w:tc>
          <w:tcPr>
            <w:tcW w:w="0" w:type="auto"/>
            <w:vAlign w:val="center"/>
          </w:tcPr>
          <w:p w:rsidR="00C13D32" w:rsidRDefault="00CB6F2D">
            <w:pPr>
              <w:jc w:val="right"/>
            </w:pPr>
            <w:r>
              <w:rPr>
                <w:color w:val="000000"/>
                <w:kern w:val="0"/>
                <w:sz w:val="24"/>
                <w:szCs w:val="24"/>
              </w:rPr>
              <w:t>2,545,600.00</w:t>
            </w:r>
          </w:p>
        </w:tc>
        <w:tc>
          <w:tcPr>
            <w:tcW w:w="0" w:type="auto"/>
            <w:vAlign w:val="center"/>
          </w:tcPr>
          <w:p w:rsidR="00C13D32" w:rsidRDefault="00CB6F2D">
            <w:pPr>
              <w:jc w:val="right"/>
            </w:pPr>
            <w:r>
              <w:rPr>
                <w:color w:val="000000"/>
                <w:kern w:val="0"/>
                <w:sz w:val="24"/>
                <w:szCs w:val="24"/>
              </w:rPr>
              <w:t>0.01</w:t>
            </w:r>
          </w:p>
        </w:tc>
      </w:tr>
      <w:tr w:rsidR="00C13D32">
        <w:tc>
          <w:tcPr>
            <w:tcW w:w="0" w:type="auto"/>
            <w:vAlign w:val="center"/>
          </w:tcPr>
          <w:p w:rsidR="00C13D32" w:rsidRDefault="00CB6F2D">
            <w:pPr>
              <w:jc w:val="center"/>
            </w:pPr>
            <w:r>
              <w:rPr>
                <w:color w:val="000000"/>
                <w:kern w:val="0"/>
                <w:sz w:val="24"/>
                <w:szCs w:val="24"/>
              </w:rPr>
              <w:t>2</w:t>
            </w:r>
          </w:p>
        </w:tc>
        <w:tc>
          <w:tcPr>
            <w:tcW w:w="0" w:type="auto"/>
            <w:vAlign w:val="center"/>
          </w:tcPr>
          <w:p w:rsidR="00C13D32" w:rsidRDefault="00CB6F2D">
            <w:pPr>
              <w:jc w:val="center"/>
            </w:pPr>
            <w:r>
              <w:rPr>
                <w:color w:val="000000"/>
                <w:kern w:val="0"/>
                <w:sz w:val="24"/>
                <w:szCs w:val="24"/>
              </w:rPr>
              <w:t>113021</w:t>
            </w:r>
          </w:p>
        </w:tc>
        <w:tc>
          <w:tcPr>
            <w:tcW w:w="0" w:type="auto"/>
            <w:vAlign w:val="center"/>
          </w:tcPr>
          <w:p w:rsidR="00C13D32" w:rsidRDefault="00CB6F2D">
            <w:pPr>
              <w:jc w:val="center"/>
            </w:pPr>
            <w:r>
              <w:rPr>
                <w:color w:val="000000"/>
                <w:kern w:val="0"/>
                <w:sz w:val="24"/>
                <w:szCs w:val="24"/>
              </w:rPr>
              <w:t>中信转债</w:t>
            </w:r>
          </w:p>
        </w:tc>
        <w:tc>
          <w:tcPr>
            <w:tcW w:w="0" w:type="auto"/>
            <w:vAlign w:val="center"/>
          </w:tcPr>
          <w:p w:rsidR="00C13D32" w:rsidRDefault="00CB6F2D">
            <w:pPr>
              <w:jc w:val="right"/>
            </w:pPr>
            <w:r>
              <w:rPr>
                <w:color w:val="000000"/>
                <w:kern w:val="0"/>
                <w:sz w:val="24"/>
                <w:szCs w:val="24"/>
              </w:rPr>
              <w:t>1,646,187.00</w:t>
            </w:r>
          </w:p>
        </w:tc>
        <w:tc>
          <w:tcPr>
            <w:tcW w:w="0" w:type="auto"/>
            <w:vAlign w:val="center"/>
          </w:tcPr>
          <w:p w:rsidR="00C13D32" w:rsidRDefault="00CB6F2D">
            <w:pPr>
              <w:jc w:val="right"/>
            </w:pPr>
            <w:r>
              <w:rPr>
                <w:color w:val="000000"/>
                <w:kern w:val="0"/>
                <w:sz w:val="24"/>
                <w:szCs w:val="24"/>
              </w:rPr>
              <w:t>0.01</w:t>
            </w:r>
          </w:p>
        </w:tc>
      </w:tr>
      <w:tr w:rsidR="00C13D32">
        <w:tc>
          <w:tcPr>
            <w:tcW w:w="0" w:type="auto"/>
            <w:vAlign w:val="center"/>
          </w:tcPr>
          <w:p w:rsidR="00C13D32" w:rsidRDefault="00CB6F2D">
            <w:pPr>
              <w:jc w:val="center"/>
            </w:pPr>
            <w:r>
              <w:rPr>
                <w:color w:val="000000"/>
                <w:kern w:val="0"/>
                <w:sz w:val="24"/>
                <w:szCs w:val="24"/>
              </w:rPr>
              <w:t>3</w:t>
            </w:r>
          </w:p>
        </w:tc>
        <w:tc>
          <w:tcPr>
            <w:tcW w:w="0" w:type="auto"/>
            <w:vAlign w:val="center"/>
          </w:tcPr>
          <w:p w:rsidR="00C13D32" w:rsidRDefault="00CB6F2D">
            <w:pPr>
              <w:jc w:val="center"/>
            </w:pPr>
            <w:r>
              <w:rPr>
                <w:color w:val="000000"/>
                <w:kern w:val="0"/>
                <w:sz w:val="24"/>
                <w:szCs w:val="24"/>
              </w:rPr>
              <w:t>123021</w:t>
            </w:r>
          </w:p>
        </w:tc>
        <w:tc>
          <w:tcPr>
            <w:tcW w:w="0" w:type="auto"/>
            <w:vAlign w:val="center"/>
          </w:tcPr>
          <w:p w:rsidR="00C13D32" w:rsidRDefault="00CB6F2D">
            <w:pPr>
              <w:jc w:val="center"/>
            </w:pPr>
            <w:r>
              <w:rPr>
                <w:color w:val="000000"/>
                <w:kern w:val="0"/>
                <w:sz w:val="24"/>
                <w:szCs w:val="24"/>
              </w:rPr>
              <w:t>万信转</w:t>
            </w:r>
            <w:r>
              <w:rPr>
                <w:color w:val="000000"/>
                <w:kern w:val="0"/>
                <w:sz w:val="24"/>
                <w:szCs w:val="24"/>
              </w:rPr>
              <w:t>2</w:t>
            </w:r>
          </w:p>
        </w:tc>
        <w:tc>
          <w:tcPr>
            <w:tcW w:w="0" w:type="auto"/>
            <w:vAlign w:val="center"/>
          </w:tcPr>
          <w:p w:rsidR="00C13D32" w:rsidRDefault="00CB6F2D">
            <w:pPr>
              <w:jc w:val="right"/>
            </w:pPr>
            <w:r>
              <w:rPr>
                <w:color w:val="000000"/>
                <w:kern w:val="0"/>
                <w:sz w:val="24"/>
                <w:szCs w:val="24"/>
              </w:rPr>
              <w:t>220,855.20</w:t>
            </w:r>
          </w:p>
        </w:tc>
        <w:tc>
          <w:tcPr>
            <w:tcW w:w="0" w:type="auto"/>
            <w:vAlign w:val="center"/>
          </w:tcPr>
          <w:p w:rsidR="00C13D32" w:rsidRDefault="00CB6F2D">
            <w:pPr>
              <w:jc w:val="right"/>
            </w:pPr>
            <w:r>
              <w:rPr>
                <w:color w:val="000000"/>
                <w:kern w:val="0"/>
                <w:sz w:val="24"/>
                <w:szCs w:val="24"/>
              </w:rPr>
              <w:t>0.00</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本基金本报告期末前十名股票中不存在流通受限情况。</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6,839,082,680.23</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1,634,628,023.75</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1,757,723,935.07</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6,715,986,768.91</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C13D32" w:rsidRDefault="00CB6F2D">
      <w:pPr>
        <w:spacing w:line="360" w:lineRule="auto"/>
        <w:ind w:firstLineChars="200" w:firstLine="480"/>
        <w:rPr>
          <w:color w:val="000000"/>
          <w:sz w:val="24"/>
          <w:szCs w:val="24"/>
        </w:rPr>
      </w:pPr>
      <w:r>
        <w:rPr>
          <w:color w:val="000000"/>
          <w:sz w:val="24"/>
          <w:szCs w:val="24"/>
        </w:rPr>
        <w:t>1.</w:t>
      </w:r>
      <w:r>
        <w:rPr>
          <w:color w:val="000000"/>
          <w:sz w:val="24"/>
          <w:szCs w:val="24"/>
        </w:rPr>
        <w:t>中国证监会核准易方达消费行业股票型证券投资基金募集的文件；</w:t>
      </w:r>
    </w:p>
    <w:p w:rsidR="00C13D32" w:rsidRDefault="00CB6F2D">
      <w:pPr>
        <w:spacing w:line="360" w:lineRule="auto"/>
        <w:ind w:firstLineChars="200" w:firstLine="480"/>
        <w:rPr>
          <w:color w:val="000000"/>
          <w:sz w:val="24"/>
          <w:szCs w:val="24"/>
        </w:rPr>
      </w:pPr>
      <w:r>
        <w:rPr>
          <w:color w:val="000000"/>
          <w:sz w:val="24"/>
          <w:szCs w:val="24"/>
        </w:rPr>
        <w:t>2.</w:t>
      </w:r>
      <w:r>
        <w:rPr>
          <w:color w:val="000000"/>
          <w:sz w:val="24"/>
          <w:szCs w:val="24"/>
        </w:rPr>
        <w:t>《易方达消费行业股票型证券投资基金基金合同》；</w:t>
      </w:r>
    </w:p>
    <w:p w:rsidR="00C13D32" w:rsidRDefault="00CB6F2D">
      <w:pPr>
        <w:spacing w:line="360" w:lineRule="auto"/>
        <w:ind w:firstLineChars="200" w:firstLine="480"/>
        <w:rPr>
          <w:color w:val="000000"/>
          <w:sz w:val="24"/>
          <w:szCs w:val="24"/>
        </w:rPr>
      </w:pPr>
      <w:r>
        <w:rPr>
          <w:color w:val="000000"/>
          <w:sz w:val="24"/>
          <w:szCs w:val="24"/>
        </w:rPr>
        <w:t>3.</w:t>
      </w:r>
      <w:r>
        <w:rPr>
          <w:color w:val="000000"/>
          <w:sz w:val="24"/>
          <w:szCs w:val="24"/>
        </w:rPr>
        <w:t>《易方达消费行业股票型证券投资基金托管协议》；</w:t>
      </w:r>
    </w:p>
    <w:p w:rsidR="00C13D32" w:rsidRDefault="00CB6F2D">
      <w:pPr>
        <w:spacing w:line="360" w:lineRule="auto"/>
        <w:ind w:firstLineChars="200" w:firstLine="480"/>
        <w:rPr>
          <w:color w:val="000000"/>
          <w:sz w:val="24"/>
          <w:szCs w:val="24"/>
        </w:rPr>
      </w:pPr>
      <w:r>
        <w:rPr>
          <w:color w:val="000000"/>
          <w:sz w:val="24"/>
          <w:szCs w:val="24"/>
        </w:rPr>
        <w:t>4.</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5.</w:t>
      </w:r>
      <w:r w:rsidRPr="006C56AA">
        <w:rPr>
          <w:color w:val="000000"/>
          <w:sz w:val="24"/>
          <w:szCs w:val="24"/>
        </w:rPr>
        <w:t>基金管理人业务资格批件和营业执照。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二〇二〇年一月十八日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0DE" w:rsidRDefault="009510DE" w:rsidP="00876D65">
      <w:r>
        <w:separator/>
      </w:r>
    </w:p>
  </w:endnote>
  <w:endnote w:type="continuationSeparator" w:id="0">
    <w:p w:rsidR="009510DE" w:rsidRDefault="009510D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CB6F2D">
      <w:rPr>
        <w:rStyle w:val="a7"/>
        <w:noProof/>
      </w:rPr>
      <w:t>1</w:t>
    </w:r>
    <w:r>
      <w:rPr>
        <w:rStyle w:val="a7"/>
      </w:rPr>
      <w:fldChar w:fldCharType="end"/>
    </w:r>
    <w:r>
      <w:rPr>
        <w:rStyle w:val="a7"/>
        <w:rFonts w:hint="eastAsia"/>
      </w:rPr>
      <w:t>页共</w:t>
    </w:r>
    <w:r w:rsidR="00CB6F2D">
      <w:fldChar w:fldCharType="begin"/>
    </w:r>
    <w:r w:rsidR="00CB6F2D">
      <w:instrText xml:space="preserve"> NUMPAGES  \* Arabic  \* MERGEFORMAT </w:instrText>
    </w:r>
    <w:r w:rsidR="00CB6F2D">
      <w:fldChar w:fldCharType="separate"/>
    </w:r>
    <w:r w:rsidR="00CB6F2D" w:rsidRPr="00CB6F2D">
      <w:rPr>
        <w:rStyle w:val="a7"/>
        <w:noProof/>
      </w:rPr>
      <w:t>1</w:t>
    </w:r>
    <w:r w:rsidR="00CB6F2D">
      <w:rPr>
        <w:rStyle w:val="a7"/>
        <w:noProof/>
      </w:rPr>
      <w:fldChar w:fldCharType="end"/>
    </w:r>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CB6F2D">
      <w:rPr>
        <w:rStyle w:val="a7"/>
        <w:noProof/>
      </w:rPr>
      <w:t>2</w:t>
    </w:r>
    <w:r>
      <w:rPr>
        <w:rStyle w:val="a7"/>
      </w:rPr>
      <w:fldChar w:fldCharType="end"/>
    </w:r>
    <w:r>
      <w:rPr>
        <w:rStyle w:val="a7"/>
        <w:rFonts w:hint="eastAsia"/>
      </w:rPr>
      <w:t>页共</w:t>
    </w:r>
    <w:fldSimple w:instr=" NUMPAGES  \* Arabic  \* MERGEFORMAT ">
      <w:r w:rsidR="00CB6F2D" w:rsidRPr="00CB6F2D">
        <w:rPr>
          <w:rStyle w:val="a7"/>
          <w:noProof/>
        </w:rPr>
        <w:t>2</w:t>
      </w:r>
    </w:fldSimple>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0DE" w:rsidRDefault="009510DE" w:rsidP="00876D65">
      <w:r>
        <w:separator/>
      </w:r>
    </w:p>
  </w:footnote>
  <w:footnote w:type="continuationSeparator" w:id="0">
    <w:p w:rsidR="009510DE" w:rsidRDefault="009510D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易方达消费行业股票型证券投资基金</w:t>
    </w:r>
    <w:r w:rsidRPr="00093704">
      <w:t>2019</w:t>
    </w:r>
    <w:r w:rsidRPr="00093704">
      <w:t>年第</w:t>
    </w:r>
    <w:r w:rsidRPr="00093704">
      <w:t>4</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61AF"/>
    <w:rsid w:val="00921AC7"/>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13D32"/>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B6F2D"/>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D4DB4A09-ABA9-4DFA-A379-75FDB176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CA40B-26EA-40C5-8199-1C16C0C98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946</Words>
  <Characters>5397</Characters>
  <Application>Microsoft Office Word</Application>
  <DocSecurity>4</DocSecurity>
  <Lines>44</Lines>
  <Paragraphs>12</Paragraphs>
  <ScaleCrop>false</ScaleCrop>
  <Company/>
  <LinksUpToDate>false</LinksUpToDate>
  <CharactersWithSpaces>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efunds</cp:lastModifiedBy>
  <cp:revision>2</cp:revision>
  <dcterms:created xsi:type="dcterms:W3CDTF">2020-01-13T02:41:00Z</dcterms:created>
  <dcterms:modified xsi:type="dcterms:W3CDTF">2020-01-13T02:41:00Z</dcterms:modified>
</cp:coreProperties>
</file>