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易方达中小盘混合型证券投资基金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AC008A" w:rsidRDefault="00E13DDA">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C008A" w:rsidRDefault="00E13DDA">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C008A" w:rsidRDefault="00E13DDA">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C008A" w:rsidRDefault="00E13DDA">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C008A" w:rsidRDefault="00E13DDA">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易方达中小盘混合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110011</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110011</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2008</w:t>
            </w:r>
            <w:r w:rsidRPr="00232B03">
              <w:rPr>
                <w:color w:val="000000"/>
                <w:kern w:val="0"/>
                <w:sz w:val="24"/>
                <w:szCs w:val="24"/>
              </w:rPr>
              <w:t>年</w:t>
            </w:r>
            <w:r w:rsidRPr="00232B03">
              <w:rPr>
                <w:color w:val="000000"/>
                <w:kern w:val="0"/>
                <w:sz w:val="24"/>
                <w:szCs w:val="24"/>
              </w:rPr>
              <w:t>6</w:t>
            </w:r>
            <w:r w:rsidRPr="00232B03">
              <w:rPr>
                <w:color w:val="000000"/>
                <w:kern w:val="0"/>
                <w:sz w:val="24"/>
                <w:szCs w:val="24"/>
              </w:rPr>
              <w:t>月</w:t>
            </w:r>
            <w:r w:rsidRPr="00232B03">
              <w:rPr>
                <w:color w:val="000000"/>
                <w:kern w:val="0"/>
                <w:sz w:val="24"/>
                <w:szCs w:val="24"/>
              </w:rPr>
              <w:t>19</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3,758,491,155.19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通过投资具有竞争优势和较高成长性的中小盘股票，力求在有效控制风险的前提下，谋求基金资产的长期增值。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本基金基于定量与定性相结合的宏观及市场分析，进行战术性资产配置，确定组合中股票、债券、货币市场工具及其他金融工具的比例，追求更高收益，回避市场风险。在股票资产方面，本基金采取</w:t>
            </w:r>
            <w:r w:rsidRPr="00232B03">
              <w:rPr>
                <w:color w:val="000000"/>
                <w:kern w:val="0"/>
                <w:sz w:val="24"/>
                <w:szCs w:val="24"/>
              </w:rPr>
              <w:lastRenderedPageBreak/>
              <w:t>“</w:t>
            </w:r>
            <w:r w:rsidRPr="00232B03">
              <w:rPr>
                <w:color w:val="000000"/>
                <w:kern w:val="0"/>
                <w:sz w:val="24"/>
                <w:szCs w:val="24"/>
              </w:rPr>
              <w:t>自下而上</w:t>
            </w:r>
            <w:r w:rsidRPr="00232B03">
              <w:rPr>
                <w:color w:val="000000"/>
                <w:kern w:val="0"/>
                <w:sz w:val="24"/>
                <w:szCs w:val="24"/>
              </w:rPr>
              <w:t>”</w:t>
            </w:r>
            <w:r w:rsidRPr="00232B03">
              <w:rPr>
                <w:color w:val="000000"/>
                <w:kern w:val="0"/>
                <w:sz w:val="24"/>
                <w:szCs w:val="24"/>
              </w:rPr>
              <w:t>的策略，投资具有良好治理结构、在细分行业具有竞争优势以及有较高成长性的中小盘股票。</w:t>
            </w:r>
            <w:bookmarkStart w:id="0" w:name="_GoBack"/>
            <w:bookmarkEnd w:id="0"/>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45%×</w:t>
            </w:r>
            <w:r w:rsidRPr="00232B03">
              <w:rPr>
                <w:color w:val="000000"/>
                <w:kern w:val="0"/>
                <w:sz w:val="24"/>
                <w:szCs w:val="24"/>
              </w:rPr>
              <w:t>天相中盘指数收益率</w:t>
            </w:r>
            <w:r w:rsidRPr="00232B03">
              <w:rPr>
                <w:color w:val="000000"/>
                <w:kern w:val="0"/>
                <w:sz w:val="24"/>
                <w:szCs w:val="24"/>
              </w:rPr>
              <w:t>+35%×</w:t>
            </w:r>
            <w:r w:rsidRPr="00232B03">
              <w:rPr>
                <w:color w:val="000000"/>
                <w:kern w:val="0"/>
                <w:sz w:val="24"/>
                <w:szCs w:val="24"/>
              </w:rPr>
              <w:t>天相小盘指数收益率</w:t>
            </w:r>
            <w:r w:rsidRPr="00232B03">
              <w:rPr>
                <w:color w:val="000000"/>
                <w:kern w:val="0"/>
                <w:sz w:val="24"/>
                <w:szCs w:val="24"/>
              </w:rPr>
              <w:t>+20%×</w:t>
            </w:r>
            <w:r w:rsidRPr="00232B03">
              <w:rPr>
                <w:color w:val="000000"/>
                <w:kern w:val="0"/>
                <w:sz w:val="24"/>
                <w:szCs w:val="24"/>
              </w:rPr>
              <w:t>中债总指数收益率</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本基金是混合基金，理论上其风险收益水平高于债券基金和货币市场基金，低于股票基金。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9602DA" w:rsidRPr="006506EF" w:rsidTr="009602D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r>
      <w:tr w:rsidR="009602DA" w:rsidRPr="006506EF" w:rsidTr="009602D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347,938,092.47</w:t>
            </w:r>
          </w:p>
        </w:tc>
      </w:tr>
      <w:tr w:rsidR="009602DA" w:rsidRPr="006506EF" w:rsidTr="009602D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815,920,330.37</w:t>
            </w:r>
          </w:p>
        </w:tc>
      </w:tr>
      <w:tr w:rsidR="009602DA" w:rsidRPr="006506EF" w:rsidTr="009602D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0.2313</w:t>
            </w:r>
          </w:p>
        </w:tc>
      </w:tr>
      <w:tr w:rsidR="009602DA" w:rsidRPr="006506EF" w:rsidTr="009602D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18,644,573,119.33</w:t>
            </w:r>
          </w:p>
        </w:tc>
      </w:tr>
      <w:tr w:rsidR="009602DA" w:rsidRPr="006506EF" w:rsidTr="009602D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4.9607</w:t>
            </w:r>
          </w:p>
        </w:tc>
      </w:tr>
    </w:tbl>
    <w:p w:rsidR="00AC008A" w:rsidRDefault="00E13DDA">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w:t>
            </w:r>
            <w:r w:rsidRPr="00232B03">
              <w:rPr>
                <w:color w:val="000000"/>
                <w:kern w:val="0"/>
                <w:sz w:val="24"/>
                <w:szCs w:val="24"/>
              </w:rPr>
              <w:lastRenderedPageBreak/>
              <w:t>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净值增</w:t>
            </w:r>
            <w:r w:rsidRPr="00232B03">
              <w:rPr>
                <w:color w:val="000000"/>
                <w:kern w:val="0"/>
                <w:sz w:val="24"/>
                <w:szCs w:val="24"/>
              </w:rPr>
              <w:lastRenderedPageBreak/>
              <w:t>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w:t>
            </w:r>
            <w:r w:rsidRPr="00232B03">
              <w:rPr>
                <w:color w:val="000000"/>
                <w:kern w:val="0"/>
                <w:sz w:val="24"/>
                <w:szCs w:val="24"/>
              </w:rPr>
              <w:lastRenderedPageBreak/>
              <w:t>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w:t>
            </w:r>
            <w:r w:rsidRPr="00232B03">
              <w:rPr>
                <w:color w:val="000000"/>
                <w:kern w:val="0"/>
                <w:sz w:val="24"/>
                <w:szCs w:val="24"/>
              </w:rPr>
              <w:lastRenderedPageBreak/>
              <w:t>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lastRenderedPageBreak/>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AC008A">
        <w:tc>
          <w:tcPr>
            <w:tcW w:w="1395" w:type="dxa"/>
            <w:vAlign w:val="center"/>
          </w:tcPr>
          <w:p w:rsidR="00AC008A" w:rsidRDefault="00E13DDA">
            <w:pPr>
              <w:jc w:val="left"/>
            </w:pPr>
            <w:r>
              <w:rPr>
                <w:color w:val="000000"/>
                <w:kern w:val="0"/>
                <w:sz w:val="24"/>
                <w:szCs w:val="24"/>
              </w:rPr>
              <w:lastRenderedPageBreak/>
              <w:t>过去三个月</w:t>
            </w:r>
          </w:p>
        </w:tc>
        <w:tc>
          <w:tcPr>
            <w:tcW w:w="1092" w:type="dxa"/>
            <w:vAlign w:val="center"/>
          </w:tcPr>
          <w:p w:rsidR="00AC008A" w:rsidRDefault="00E13DDA">
            <w:pPr>
              <w:jc w:val="center"/>
            </w:pPr>
            <w:r>
              <w:rPr>
                <w:color w:val="000000"/>
                <w:kern w:val="0"/>
                <w:sz w:val="24"/>
                <w:szCs w:val="24"/>
              </w:rPr>
              <w:t>4.33%</w:t>
            </w:r>
          </w:p>
        </w:tc>
        <w:tc>
          <w:tcPr>
            <w:tcW w:w="1161" w:type="dxa"/>
            <w:vAlign w:val="center"/>
          </w:tcPr>
          <w:p w:rsidR="00AC008A" w:rsidRDefault="00E13DDA">
            <w:pPr>
              <w:jc w:val="center"/>
            </w:pPr>
            <w:r>
              <w:rPr>
                <w:color w:val="000000"/>
                <w:kern w:val="0"/>
                <w:sz w:val="24"/>
                <w:szCs w:val="24"/>
              </w:rPr>
              <w:t>0.91%</w:t>
            </w:r>
          </w:p>
        </w:tc>
        <w:tc>
          <w:tcPr>
            <w:tcW w:w="1181" w:type="dxa"/>
            <w:vAlign w:val="center"/>
          </w:tcPr>
          <w:p w:rsidR="00AC008A" w:rsidRDefault="00E13DDA">
            <w:pPr>
              <w:jc w:val="center"/>
            </w:pPr>
            <w:r>
              <w:rPr>
                <w:color w:val="000000"/>
                <w:kern w:val="0"/>
                <w:sz w:val="24"/>
                <w:szCs w:val="24"/>
              </w:rPr>
              <w:t>6.19%</w:t>
            </w:r>
          </w:p>
        </w:tc>
        <w:tc>
          <w:tcPr>
            <w:tcW w:w="1188" w:type="dxa"/>
            <w:vAlign w:val="center"/>
          </w:tcPr>
          <w:p w:rsidR="00AC008A" w:rsidRDefault="00E13DDA">
            <w:pPr>
              <w:jc w:val="center"/>
            </w:pPr>
            <w:r>
              <w:rPr>
                <w:color w:val="000000"/>
                <w:kern w:val="0"/>
                <w:sz w:val="24"/>
                <w:szCs w:val="24"/>
              </w:rPr>
              <w:t>0.67%</w:t>
            </w:r>
          </w:p>
        </w:tc>
        <w:tc>
          <w:tcPr>
            <w:tcW w:w="1199" w:type="dxa"/>
            <w:vAlign w:val="center"/>
          </w:tcPr>
          <w:p w:rsidR="00AC008A" w:rsidRDefault="00E13DDA">
            <w:pPr>
              <w:jc w:val="center"/>
            </w:pPr>
            <w:r>
              <w:rPr>
                <w:color w:val="000000"/>
                <w:kern w:val="0"/>
                <w:sz w:val="24"/>
                <w:szCs w:val="24"/>
              </w:rPr>
              <w:t>-1.86%</w:t>
            </w:r>
          </w:p>
        </w:tc>
        <w:tc>
          <w:tcPr>
            <w:tcW w:w="1204" w:type="dxa"/>
            <w:vAlign w:val="center"/>
          </w:tcPr>
          <w:p w:rsidR="00AC008A" w:rsidRDefault="00E13DDA">
            <w:pPr>
              <w:jc w:val="center"/>
            </w:pPr>
            <w:r>
              <w:rPr>
                <w:color w:val="000000"/>
                <w:kern w:val="0"/>
                <w:sz w:val="24"/>
                <w:szCs w:val="24"/>
              </w:rPr>
              <w:t>0.24%</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易方达中小盘混合型证券投资基金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2008</w:t>
      </w:r>
      <w:r w:rsidRPr="0074694E">
        <w:rPr>
          <w:rFonts w:ascii="Times New Roman" w:hAnsi="Times New Roman"/>
          <w:sz w:val="24"/>
          <w:szCs w:val="24"/>
        </w:rPr>
        <w:t>年</w:t>
      </w:r>
      <w:r w:rsidRPr="0074694E">
        <w:rPr>
          <w:rFonts w:ascii="Times New Roman" w:hAnsi="Times New Roman"/>
          <w:sz w:val="24"/>
          <w:szCs w:val="24"/>
        </w:rPr>
        <w:t>6</w:t>
      </w:r>
      <w:r w:rsidRPr="0074694E">
        <w:rPr>
          <w:rFonts w:ascii="Times New Roman" w:hAnsi="Times New Roman"/>
          <w:sz w:val="24"/>
          <w:szCs w:val="24"/>
        </w:rPr>
        <w:t>月</w:t>
      </w:r>
      <w:r w:rsidRPr="0074694E">
        <w:rPr>
          <w:rFonts w:ascii="Times New Roman" w:hAnsi="Times New Roman"/>
          <w:sz w:val="24"/>
          <w:szCs w:val="24"/>
        </w:rPr>
        <w:t>19</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9602DA"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522.97%</w:t>
      </w:r>
      <w:r w:rsidRPr="006C56AA">
        <w:rPr>
          <w:color w:val="000000"/>
          <w:sz w:val="24"/>
          <w:szCs w:val="24"/>
        </w:rPr>
        <w:t>，同期业绩比较基准收益率为</w:t>
      </w:r>
      <w:r w:rsidRPr="006C56AA">
        <w:rPr>
          <w:color w:val="000000"/>
          <w:sz w:val="24"/>
          <w:szCs w:val="24"/>
        </w:rPr>
        <w:t>45.64%</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w:t>
            </w:r>
            <w:r w:rsidRPr="00FA472B">
              <w:rPr>
                <w:color w:val="000000"/>
                <w:kern w:val="0"/>
                <w:sz w:val="24"/>
              </w:rPr>
              <w:lastRenderedPageBreak/>
              <w:t>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lastRenderedPageBreak/>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AC008A">
        <w:tc>
          <w:tcPr>
            <w:tcW w:w="567" w:type="dxa"/>
            <w:vAlign w:val="center"/>
          </w:tcPr>
          <w:p w:rsidR="00AC008A" w:rsidRDefault="00E13DDA">
            <w:pPr>
              <w:jc w:val="center"/>
            </w:pPr>
            <w:r>
              <w:rPr>
                <w:color w:val="000000"/>
                <w:sz w:val="24"/>
              </w:rPr>
              <w:lastRenderedPageBreak/>
              <w:t>张坤</w:t>
            </w:r>
          </w:p>
        </w:tc>
        <w:tc>
          <w:tcPr>
            <w:tcW w:w="2835" w:type="dxa"/>
            <w:vAlign w:val="center"/>
          </w:tcPr>
          <w:p w:rsidR="00AC008A" w:rsidRDefault="00E13DDA">
            <w:pPr>
              <w:jc w:val="center"/>
            </w:pPr>
            <w:r>
              <w:rPr>
                <w:color w:val="000000"/>
                <w:sz w:val="24"/>
              </w:rPr>
              <w:t>本基金的基金经理、易方达亚洲精选股票型证券投资基金的基金经理、易方达新丝路灵活配置混合型证券投资基金的基金经理、易方达蓝筹精选混合型证券投资基金的基金经理</w:t>
            </w:r>
          </w:p>
        </w:tc>
        <w:tc>
          <w:tcPr>
            <w:tcW w:w="851" w:type="dxa"/>
            <w:vAlign w:val="center"/>
          </w:tcPr>
          <w:p w:rsidR="00AC008A" w:rsidRDefault="00E13DDA">
            <w:pPr>
              <w:jc w:val="center"/>
            </w:pPr>
            <w:r>
              <w:rPr>
                <w:color w:val="000000"/>
                <w:sz w:val="24"/>
              </w:rPr>
              <w:t>2012-09-28</w:t>
            </w:r>
          </w:p>
        </w:tc>
        <w:tc>
          <w:tcPr>
            <w:tcW w:w="850" w:type="dxa"/>
            <w:vAlign w:val="center"/>
          </w:tcPr>
          <w:p w:rsidR="00AC008A" w:rsidRDefault="00E13DDA">
            <w:pPr>
              <w:jc w:val="center"/>
            </w:pPr>
            <w:r>
              <w:rPr>
                <w:color w:val="000000"/>
                <w:sz w:val="24"/>
              </w:rPr>
              <w:t>-</w:t>
            </w:r>
          </w:p>
        </w:tc>
        <w:tc>
          <w:tcPr>
            <w:tcW w:w="851" w:type="dxa"/>
            <w:vAlign w:val="center"/>
          </w:tcPr>
          <w:p w:rsidR="00AC008A" w:rsidRDefault="00E13DDA">
            <w:pPr>
              <w:jc w:val="center"/>
            </w:pPr>
            <w:r>
              <w:rPr>
                <w:color w:val="000000"/>
                <w:sz w:val="24"/>
              </w:rPr>
              <w:t>11</w:t>
            </w:r>
            <w:r>
              <w:rPr>
                <w:color w:val="000000"/>
                <w:sz w:val="24"/>
              </w:rPr>
              <w:t>年</w:t>
            </w:r>
          </w:p>
        </w:tc>
        <w:tc>
          <w:tcPr>
            <w:tcW w:w="2977" w:type="dxa"/>
            <w:vAlign w:val="center"/>
          </w:tcPr>
          <w:p w:rsidR="00AC008A" w:rsidRDefault="00E13DDA">
            <w:r>
              <w:rPr>
                <w:color w:val="000000"/>
                <w:sz w:val="24"/>
              </w:rPr>
              <w:t>硕士研究生，具有基金从业资格。曾任易方达基金管理有限公司行业研究员、基金经理助理、研究部总经理助理。</w:t>
            </w:r>
          </w:p>
        </w:tc>
      </w:tr>
    </w:tbl>
    <w:p w:rsidR="00AC008A" w:rsidRDefault="00E13DDA">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AC008A" w:rsidRDefault="00E13DDA">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w:t>
      </w:r>
      <w:r>
        <w:rPr>
          <w:color w:val="000000"/>
          <w:sz w:val="24"/>
          <w:szCs w:val="24"/>
        </w:rPr>
        <w:lastRenderedPageBreak/>
        <w:t>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AC008A" w:rsidRDefault="00E13DDA">
      <w:pPr>
        <w:spacing w:line="360" w:lineRule="auto"/>
        <w:ind w:firstLineChars="200" w:firstLine="480"/>
        <w:rPr>
          <w:color w:val="000000"/>
          <w:sz w:val="24"/>
          <w:szCs w:val="24"/>
        </w:rPr>
      </w:pPr>
      <w:r>
        <w:rPr>
          <w:color w:val="000000"/>
          <w:sz w:val="24"/>
          <w:szCs w:val="24"/>
        </w:rPr>
        <w:t>2019</w:t>
      </w:r>
      <w:r>
        <w:rPr>
          <w:color w:val="000000"/>
          <w:sz w:val="24"/>
          <w:szCs w:val="24"/>
        </w:rPr>
        <w:t>年四季度，</w:t>
      </w:r>
      <w:r>
        <w:rPr>
          <w:color w:val="000000"/>
          <w:sz w:val="24"/>
          <w:szCs w:val="24"/>
        </w:rPr>
        <w:t>A</w:t>
      </w:r>
      <w:r>
        <w:rPr>
          <w:color w:val="000000"/>
          <w:sz w:val="24"/>
          <w:szCs w:val="24"/>
        </w:rPr>
        <w:t>股市场震荡上涨，沪深</w:t>
      </w:r>
      <w:r>
        <w:rPr>
          <w:color w:val="000000"/>
          <w:sz w:val="24"/>
          <w:szCs w:val="24"/>
        </w:rPr>
        <w:t>300</w:t>
      </w:r>
      <w:r>
        <w:rPr>
          <w:color w:val="000000"/>
          <w:sz w:val="24"/>
          <w:szCs w:val="24"/>
        </w:rPr>
        <w:t>指数上涨</w:t>
      </w:r>
      <w:r>
        <w:rPr>
          <w:color w:val="000000"/>
          <w:sz w:val="24"/>
          <w:szCs w:val="24"/>
        </w:rPr>
        <w:t>7.39%</w:t>
      </w:r>
      <w:r>
        <w:rPr>
          <w:color w:val="000000"/>
          <w:sz w:val="24"/>
          <w:szCs w:val="24"/>
        </w:rPr>
        <w:t>，上证指数上涨</w:t>
      </w:r>
      <w:r>
        <w:rPr>
          <w:color w:val="000000"/>
          <w:sz w:val="24"/>
          <w:szCs w:val="24"/>
        </w:rPr>
        <w:t>4.99%</w:t>
      </w:r>
      <w:r>
        <w:rPr>
          <w:color w:val="000000"/>
          <w:sz w:val="24"/>
          <w:szCs w:val="24"/>
        </w:rPr>
        <w:t>。</w:t>
      </w:r>
    </w:p>
    <w:p w:rsidR="00AC008A" w:rsidRDefault="00E13DDA">
      <w:pPr>
        <w:spacing w:line="360" w:lineRule="auto"/>
        <w:ind w:firstLineChars="200" w:firstLine="480"/>
        <w:rPr>
          <w:color w:val="000000"/>
          <w:sz w:val="24"/>
          <w:szCs w:val="24"/>
        </w:rPr>
      </w:pPr>
      <w:r>
        <w:rPr>
          <w:color w:val="000000"/>
          <w:sz w:val="24"/>
          <w:szCs w:val="24"/>
        </w:rPr>
        <w:t>四季度，流动性方面整体持续保持宽松。宏观经济方面，地产销售逐步回暖，经济呈现逐步企稳的态势。股票市场方面，市场在四季度分化较为明显，建材、家电、电子、传媒等行业表现较好，而军工、公用事业、商贸零售等行业表现相对落后。</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四季度，操作方面，本基金在四季度股票仓位略有上升，并对结构进行了调整。行业方面，降低了交运等行业的配置，增加了汽车等行业的配置。个股方面，我们依然长期持有商业模式出色、行业格局清晰、竞争力强的优质公司，希望陪伴这些优秀公司成长并分享其经营成果。</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4.9607</w:t>
      </w:r>
      <w:r w:rsidRPr="006C56AA">
        <w:rPr>
          <w:color w:val="000000"/>
          <w:sz w:val="24"/>
          <w:szCs w:val="24"/>
        </w:rPr>
        <w:t>元，本报告期份额净值增长率为</w:t>
      </w:r>
      <w:r w:rsidRPr="006C56AA">
        <w:rPr>
          <w:color w:val="000000"/>
          <w:sz w:val="24"/>
          <w:szCs w:val="24"/>
        </w:rPr>
        <w:t>4.33%</w:t>
      </w:r>
      <w:r w:rsidRPr="006C56AA">
        <w:rPr>
          <w:color w:val="000000"/>
          <w:sz w:val="24"/>
          <w:szCs w:val="24"/>
        </w:rPr>
        <w:t>，同期业绩比较基准收益率为</w:t>
      </w:r>
      <w:r w:rsidRPr="006C56AA">
        <w:rPr>
          <w:color w:val="000000"/>
          <w:sz w:val="24"/>
          <w:szCs w:val="24"/>
        </w:rPr>
        <w:t>6.19%</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17,694,483,197.87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93.96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17,694,483,197.87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93.96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501,334,000.00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501,334,000.00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534,911,228.71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2.84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100,450,601.89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0.53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18,831,179,028.47</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14,201,117,378.38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1,767,400,767.80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9.48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212,428,204.77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49,287,595.00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396,121,803.56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1,068,120,870.32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5.73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17,694,483,197.87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94.90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AC008A">
        <w:tc>
          <w:tcPr>
            <w:tcW w:w="851" w:type="dxa"/>
            <w:vAlign w:val="center"/>
          </w:tcPr>
          <w:p w:rsidR="00AC008A" w:rsidRDefault="00E13DDA">
            <w:pPr>
              <w:jc w:val="center"/>
            </w:pPr>
            <w:r>
              <w:rPr>
                <w:color w:val="000000"/>
                <w:kern w:val="0"/>
                <w:sz w:val="24"/>
                <w:szCs w:val="24"/>
              </w:rPr>
              <w:t>1</w:t>
            </w:r>
          </w:p>
        </w:tc>
        <w:tc>
          <w:tcPr>
            <w:tcW w:w="1276" w:type="dxa"/>
            <w:vAlign w:val="center"/>
          </w:tcPr>
          <w:p w:rsidR="00AC008A" w:rsidRDefault="00E13DDA">
            <w:pPr>
              <w:jc w:val="center"/>
            </w:pPr>
            <w:r>
              <w:rPr>
                <w:color w:val="000000"/>
                <w:kern w:val="0"/>
                <w:sz w:val="24"/>
                <w:szCs w:val="24"/>
              </w:rPr>
              <w:t>600690</w:t>
            </w:r>
          </w:p>
        </w:tc>
        <w:tc>
          <w:tcPr>
            <w:tcW w:w="1418" w:type="dxa"/>
            <w:vAlign w:val="center"/>
          </w:tcPr>
          <w:p w:rsidR="00AC008A" w:rsidRDefault="00E13DDA">
            <w:pPr>
              <w:jc w:val="center"/>
            </w:pPr>
            <w:r>
              <w:rPr>
                <w:color w:val="000000"/>
                <w:kern w:val="0"/>
                <w:sz w:val="24"/>
                <w:szCs w:val="24"/>
              </w:rPr>
              <w:t>海尔智家</w:t>
            </w:r>
          </w:p>
        </w:tc>
        <w:tc>
          <w:tcPr>
            <w:tcW w:w="1701" w:type="dxa"/>
            <w:vAlign w:val="center"/>
          </w:tcPr>
          <w:p w:rsidR="00AC008A" w:rsidRDefault="00E13DDA">
            <w:pPr>
              <w:jc w:val="right"/>
            </w:pPr>
            <w:r>
              <w:rPr>
                <w:color w:val="000000"/>
                <w:kern w:val="0"/>
                <w:sz w:val="24"/>
                <w:szCs w:val="24"/>
              </w:rPr>
              <w:t>97,000,000</w:t>
            </w:r>
          </w:p>
        </w:tc>
        <w:tc>
          <w:tcPr>
            <w:tcW w:w="1984" w:type="dxa"/>
            <w:vAlign w:val="center"/>
          </w:tcPr>
          <w:p w:rsidR="00AC008A" w:rsidRDefault="00E13DDA">
            <w:pPr>
              <w:jc w:val="right"/>
            </w:pPr>
            <w:r>
              <w:rPr>
                <w:color w:val="000000"/>
                <w:kern w:val="0"/>
                <w:sz w:val="24"/>
                <w:szCs w:val="24"/>
              </w:rPr>
              <w:t>1,891,500,000.00</w:t>
            </w:r>
          </w:p>
        </w:tc>
        <w:tc>
          <w:tcPr>
            <w:tcW w:w="1559" w:type="dxa"/>
            <w:vAlign w:val="center"/>
          </w:tcPr>
          <w:p w:rsidR="00AC008A" w:rsidRDefault="00E13DDA">
            <w:pPr>
              <w:jc w:val="right"/>
            </w:pPr>
            <w:r>
              <w:rPr>
                <w:color w:val="000000"/>
                <w:kern w:val="0"/>
                <w:sz w:val="24"/>
                <w:szCs w:val="24"/>
              </w:rPr>
              <w:t>10.15</w:t>
            </w:r>
          </w:p>
        </w:tc>
      </w:tr>
      <w:tr w:rsidR="00AC008A">
        <w:tc>
          <w:tcPr>
            <w:tcW w:w="851" w:type="dxa"/>
            <w:vAlign w:val="center"/>
          </w:tcPr>
          <w:p w:rsidR="00AC008A" w:rsidRDefault="00E13DDA">
            <w:pPr>
              <w:jc w:val="center"/>
            </w:pPr>
            <w:r>
              <w:rPr>
                <w:color w:val="000000"/>
                <w:kern w:val="0"/>
                <w:sz w:val="24"/>
                <w:szCs w:val="24"/>
              </w:rPr>
              <w:t>2</w:t>
            </w:r>
          </w:p>
        </w:tc>
        <w:tc>
          <w:tcPr>
            <w:tcW w:w="1276" w:type="dxa"/>
            <w:vAlign w:val="center"/>
          </w:tcPr>
          <w:p w:rsidR="00AC008A" w:rsidRDefault="00E13DDA">
            <w:pPr>
              <w:jc w:val="center"/>
            </w:pPr>
            <w:r>
              <w:rPr>
                <w:color w:val="000000"/>
                <w:kern w:val="0"/>
                <w:sz w:val="24"/>
                <w:szCs w:val="24"/>
              </w:rPr>
              <w:t>000568</w:t>
            </w:r>
          </w:p>
        </w:tc>
        <w:tc>
          <w:tcPr>
            <w:tcW w:w="1418" w:type="dxa"/>
            <w:vAlign w:val="center"/>
          </w:tcPr>
          <w:p w:rsidR="00AC008A" w:rsidRDefault="00E13DDA">
            <w:pPr>
              <w:jc w:val="center"/>
            </w:pPr>
            <w:r>
              <w:rPr>
                <w:color w:val="000000"/>
                <w:kern w:val="0"/>
                <w:sz w:val="24"/>
                <w:szCs w:val="24"/>
              </w:rPr>
              <w:t>泸州老窖</w:t>
            </w:r>
          </w:p>
        </w:tc>
        <w:tc>
          <w:tcPr>
            <w:tcW w:w="1701" w:type="dxa"/>
            <w:vAlign w:val="center"/>
          </w:tcPr>
          <w:p w:rsidR="00AC008A" w:rsidRDefault="00E13DDA">
            <w:pPr>
              <w:jc w:val="right"/>
            </w:pPr>
            <w:r>
              <w:rPr>
                <w:color w:val="000000"/>
                <w:kern w:val="0"/>
                <w:sz w:val="24"/>
                <w:szCs w:val="24"/>
              </w:rPr>
              <w:t>21,379,566</w:t>
            </w:r>
          </w:p>
        </w:tc>
        <w:tc>
          <w:tcPr>
            <w:tcW w:w="1984" w:type="dxa"/>
            <w:vAlign w:val="center"/>
          </w:tcPr>
          <w:p w:rsidR="00AC008A" w:rsidRDefault="00E13DDA">
            <w:pPr>
              <w:jc w:val="right"/>
            </w:pPr>
            <w:r>
              <w:rPr>
                <w:color w:val="000000"/>
                <w:kern w:val="0"/>
                <w:sz w:val="24"/>
                <w:szCs w:val="24"/>
              </w:rPr>
              <w:t>1,853,180,780.88</w:t>
            </w:r>
          </w:p>
        </w:tc>
        <w:tc>
          <w:tcPr>
            <w:tcW w:w="1559" w:type="dxa"/>
            <w:vAlign w:val="center"/>
          </w:tcPr>
          <w:p w:rsidR="00AC008A" w:rsidRDefault="00E13DDA">
            <w:pPr>
              <w:jc w:val="right"/>
            </w:pPr>
            <w:r>
              <w:rPr>
                <w:color w:val="000000"/>
                <w:kern w:val="0"/>
                <w:sz w:val="24"/>
                <w:szCs w:val="24"/>
              </w:rPr>
              <w:t>9.94</w:t>
            </w:r>
          </w:p>
        </w:tc>
      </w:tr>
      <w:tr w:rsidR="00AC008A">
        <w:tc>
          <w:tcPr>
            <w:tcW w:w="851" w:type="dxa"/>
            <w:vAlign w:val="center"/>
          </w:tcPr>
          <w:p w:rsidR="00AC008A" w:rsidRDefault="00E13DDA">
            <w:pPr>
              <w:jc w:val="center"/>
            </w:pPr>
            <w:r>
              <w:rPr>
                <w:color w:val="000000"/>
                <w:kern w:val="0"/>
                <w:sz w:val="24"/>
                <w:szCs w:val="24"/>
              </w:rPr>
              <w:t>3</w:t>
            </w:r>
          </w:p>
        </w:tc>
        <w:tc>
          <w:tcPr>
            <w:tcW w:w="1276" w:type="dxa"/>
            <w:vAlign w:val="center"/>
          </w:tcPr>
          <w:p w:rsidR="00AC008A" w:rsidRDefault="00E13DDA">
            <w:pPr>
              <w:jc w:val="center"/>
            </w:pPr>
            <w:r>
              <w:rPr>
                <w:color w:val="000000"/>
                <w:kern w:val="0"/>
                <w:sz w:val="24"/>
                <w:szCs w:val="24"/>
              </w:rPr>
              <w:t>600519</w:t>
            </w:r>
          </w:p>
        </w:tc>
        <w:tc>
          <w:tcPr>
            <w:tcW w:w="1418" w:type="dxa"/>
            <w:vAlign w:val="center"/>
          </w:tcPr>
          <w:p w:rsidR="00AC008A" w:rsidRDefault="00E13DDA">
            <w:pPr>
              <w:jc w:val="center"/>
            </w:pPr>
            <w:r>
              <w:rPr>
                <w:color w:val="000000"/>
                <w:kern w:val="0"/>
                <w:sz w:val="24"/>
                <w:szCs w:val="24"/>
              </w:rPr>
              <w:t>贵州茅台</w:t>
            </w:r>
          </w:p>
        </w:tc>
        <w:tc>
          <w:tcPr>
            <w:tcW w:w="1701" w:type="dxa"/>
            <w:vAlign w:val="center"/>
          </w:tcPr>
          <w:p w:rsidR="00AC008A" w:rsidRDefault="00E13DDA">
            <w:pPr>
              <w:jc w:val="right"/>
            </w:pPr>
            <w:r>
              <w:rPr>
                <w:color w:val="000000"/>
                <w:kern w:val="0"/>
                <w:sz w:val="24"/>
                <w:szCs w:val="24"/>
              </w:rPr>
              <w:t>1,520,000</w:t>
            </w:r>
          </w:p>
        </w:tc>
        <w:tc>
          <w:tcPr>
            <w:tcW w:w="1984" w:type="dxa"/>
            <w:vAlign w:val="center"/>
          </w:tcPr>
          <w:p w:rsidR="00AC008A" w:rsidRDefault="00E13DDA">
            <w:pPr>
              <w:jc w:val="right"/>
            </w:pPr>
            <w:r>
              <w:rPr>
                <w:color w:val="000000"/>
                <w:kern w:val="0"/>
                <w:sz w:val="24"/>
                <w:szCs w:val="24"/>
              </w:rPr>
              <w:t>1,798,160,000.00</w:t>
            </w:r>
          </w:p>
        </w:tc>
        <w:tc>
          <w:tcPr>
            <w:tcW w:w="1559" w:type="dxa"/>
            <w:vAlign w:val="center"/>
          </w:tcPr>
          <w:p w:rsidR="00AC008A" w:rsidRDefault="00E13DDA">
            <w:pPr>
              <w:jc w:val="right"/>
            </w:pPr>
            <w:r>
              <w:rPr>
                <w:color w:val="000000"/>
                <w:kern w:val="0"/>
                <w:sz w:val="24"/>
                <w:szCs w:val="24"/>
              </w:rPr>
              <w:t>9.64</w:t>
            </w:r>
          </w:p>
        </w:tc>
      </w:tr>
      <w:tr w:rsidR="00AC008A">
        <w:tc>
          <w:tcPr>
            <w:tcW w:w="851" w:type="dxa"/>
            <w:vAlign w:val="center"/>
          </w:tcPr>
          <w:p w:rsidR="00AC008A" w:rsidRDefault="00E13DDA">
            <w:pPr>
              <w:jc w:val="center"/>
            </w:pPr>
            <w:r>
              <w:rPr>
                <w:color w:val="000000"/>
                <w:kern w:val="0"/>
                <w:sz w:val="24"/>
                <w:szCs w:val="24"/>
              </w:rPr>
              <w:t>4</w:t>
            </w:r>
          </w:p>
        </w:tc>
        <w:tc>
          <w:tcPr>
            <w:tcW w:w="1276" w:type="dxa"/>
            <w:vAlign w:val="center"/>
          </w:tcPr>
          <w:p w:rsidR="00AC008A" w:rsidRDefault="00E13DDA">
            <w:pPr>
              <w:jc w:val="center"/>
            </w:pPr>
            <w:r>
              <w:rPr>
                <w:color w:val="000000"/>
                <w:kern w:val="0"/>
                <w:sz w:val="24"/>
                <w:szCs w:val="24"/>
              </w:rPr>
              <w:t>600009</w:t>
            </w:r>
          </w:p>
        </w:tc>
        <w:tc>
          <w:tcPr>
            <w:tcW w:w="1418" w:type="dxa"/>
            <w:vAlign w:val="center"/>
          </w:tcPr>
          <w:p w:rsidR="00AC008A" w:rsidRDefault="00E13DDA">
            <w:pPr>
              <w:jc w:val="center"/>
            </w:pPr>
            <w:r>
              <w:rPr>
                <w:color w:val="000000"/>
                <w:kern w:val="0"/>
                <w:sz w:val="24"/>
                <w:szCs w:val="24"/>
              </w:rPr>
              <w:t>上海机场</w:t>
            </w:r>
          </w:p>
        </w:tc>
        <w:tc>
          <w:tcPr>
            <w:tcW w:w="1701" w:type="dxa"/>
            <w:vAlign w:val="center"/>
          </w:tcPr>
          <w:p w:rsidR="00AC008A" w:rsidRDefault="00E13DDA">
            <w:pPr>
              <w:jc w:val="right"/>
            </w:pPr>
            <w:r>
              <w:rPr>
                <w:color w:val="000000"/>
                <w:kern w:val="0"/>
                <w:sz w:val="24"/>
                <w:szCs w:val="24"/>
              </w:rPr>
              <w:t>22,000,000</w:t>
            </w:r>
          </w:p>
        </w:tc>
        <w:tc>
          <w:tcPr>
            <w:tcW w:w="1984" w:type="dxa"/>
            <w:vAlign w:val="center"/>
          </w:tcPr>
          <w:p w:rsidR="00AC008A" w:rsidRDefault="00E13DDA">
            <w:pPr>
              <w:jc w:val="right"/>
            </w:pPr>
            <w:r>
              <w:rPr>
                <w:color w:val="000000"/>
                <w:kern w:val="0"/>
                <w:sz w:val="24"/>
                <w:szCs w:val="24"/>
              </w:rPr>
              <w:t>1,732,500,000.00</w:t>
            </w:r>
          </w:p>
        </w:tc>
        <w:tc>
          <w:tcPr>
            <w:tcW w:w="1559" w:type="dxa"/>
            <w:vAlign w:val="center"/>
          </w:tcPr>
          <w:p w:rsidR="00AC008A" w:rsidRDefault="00E13DDA">
            <w:pPr>
              <w:jc w:val="right"/>
            </w:pPr>
            <w:r>
              <w:rPr>
                <w:color w:val="000000"/>
                <w:kern w:val="0"/>
                <w:sz w:val="24"/>
                <w:szCs w:val="24"/>
              </w:rPr>
              <w:t>9.29</w:t>
            </w:r>
          </w:p>
        </w:tc>
      </w:tr>
      <w:tr w:rsidR="00AC008A">
        <w:tc>
          <w:tcPr>
            <w:tcW w:w="851" w:type="dxa"/>
            <w:vAlign w:val="center"/>
          </w:tcPr>
          <w:p w:rsidR="00AC008A" w:rsidRDefault="00E13DDA">
            <w:pPr>
              <w:jc w:val="center"/>
            </w:pPr>
            <w:r>
              <w:rPr>
                <w:color w:val="000000"/>
                <w:kern w:val="0"/>
                <w:sz w:val="24"/>
                <w:szCs w:val="24"/>
              </w:rPr>
              <w:t>5</w:t>
            </w:r>
          </w:p>
        </w:tc>
        <w:tc>
          <w:tcPr>
            <w:tcW w:w="1276" w:type="dxa"/>
            <w:vAlign w:val="center"/>
          </w:tcPr>
          <w:p w:rsidR="00AC008A" w:rsidRDefault="00E13DDA">
            <w:pPr>
              <w:jc w:val="center"/>
            </w:pPr>
            <w:r>
              <w:rPr>
                <w:color w:val="000000"/>
                <w:kern w:val="0"/>
                <w:sz w:val="24"/>
                <w:szCs w:val="24"/>
              </w:rPr>
              <w:t>000858</w:t>
            </w:r>
          </w:p>
        </w:tc>
        <w:tc>
          <w:tcPr>
            <w:tcW w:w="1418" w:type="dxa"/>
            <w:vAlign w:val="center"/>
          </w:tcPr>
          <w:p w:rsidR="00AC008A" w:rsidRDefault="00E13DDA">
            <w:pPr>
              <w:jc w:val="center"/>
            </w:pPr>
            <w:r>
              <w:rPr>
                <w:color w:val="000000"/>
                <w:kern w:val="0"/>
                <w:sz w:val="24"/>
                <w:szCs w:val="24"/>
              </w:rPr>
              <w:t>五粮液</w:t>
            </w:r>
          </w:p>
        </w:tc>
        <w:tc>
          <w:tcPr>
            <w:tcW w:w="1701" w:type="dxa"/>
            <w:vAlign w:val="center"/>
          </w:tcPr>
          <w:p w:rsidR="00AC008A" w:rsidRDefault="00E13DDA">
            <w:pPr>
              <w:jc w:val="right"/>
            </w:pPr>
            <w:r>
              <w:rPr>
                <w:color w:val="000000"/>
                <w:kern w:val="0"/>
                <w:sz w:val="24"/>
                <w:szCs w:val="24"/>
              </w:rPr>
              <w:t>12,800,000</w:t>
            </w:r>
          </w:p>
        </w:tc>
        <w:tc>
          <w:tcPr>
            <w:tcW w:w="1984" w:type="dxa"/>
            <w:vAlign w:val="center"/>
          </w:tcPr>
          <w:p w:rsidR="00AC008A" w:rsidRDefault="00E13DDA">
            <w:pPr>
              <w:jc w:val="right"/>
            </w:pPr>
            <w:r>
              <w:rPr>
                <w:color w:val="000000"/>
                <w:kern w:val="0"/>
                <w:sz w:val="24"/>
                <w:szCs w:val="24"/>
              </w:rPr>
              <w:t>1,702,528,000.00</w:t>
            </w:r>
          </w:p>
        </w:tc>
        <w:tc>
          <w:tcPr>
            <w:tcW w:w="1559" w:type="dxa"/>
            <w:vAlign w:val="center"/>
          </w:tcPr>
          <w:p w:rsidR="00AC008A" w:rsidRDefault="00E13DDA">
            <w:pPr>
              <w:jc w:val="right"/>
            </w:pPr>
            <w:r>
              <w:rPr>
                <w:color w:val="000000"/>
                <w:kern w:val="0"/>
                <w:sz w:val="24"/>
                <w:szCs w:val="24"/>
              </w:rPr>
              <w:t>9.13</w:t>
            </w:r>
          </w:p>
        </w:tc>
      </w:tr>
      <w:tr w:rsidR="00AC008A">
        <w:tc>
          <w:tcPr>
            <w:tcW w:w="851" w:type="dxa"/>
            <w:vAlign w:val="center"/>
          </w:tcPr>
          <w:p w:rsidR="00AC008A" w:rsidRDefault="00E13DDA">
            <w:pPr>
              <w:jc w:val="center"/>
            </w:pPr>
            <w:r>
              <w:rPr>
                <w:color w:val="000000"/>
                <w:kern w:val="0"/>
                <w:sz w:val="24"/>
                <w:szCs w:val="24"/>
              </w:rPr>
              <w:t>6</w:t>
            </w:r>
          </w:p>
        </w:tc>
        <w:tc>
          <w:tcPr>
            <w:tcW w:w="1276" w:type="dxa"/>
            <w:vAlign w:val="center"/>
          </w:tcPr>
          <w:p w:rsidR="00AC008A" w:rsidRDefault="00E13DDA">
            <w:pPr>
              <w:jc w:val="center"/>
            </w:pPr>
            <w:r>
              <w:rPr>
                <w:color w:val="000000"/>
                <w:kern w:val="0"/>
                <w:sz w:val="24"/>
                <w:szCs w:val="24"/>
              </w:rPr>
              <w:t>002007</w:t>
            </w:r>
          </w:p>
        </w:tc>
        <w:tc>
          <w:tcPr>
            <w:tcW w:w="1418" w:type="dxa"/>
            <w:vAlign w:val="center"/>
          </w:tcPr>
          <w:p w:rsidR="00AC008A" w:rsidRDefault="00E13DDA">
            <w:pPr>
              <w:jc w:val="center"/>
            </w:pPr>
            <w:r>
              <w:rPr>
                <w:color w:val="000000"/>
                <w:kern w:val="0"/>
                <w:sz w:val="24"/>
                <w:szCs w:val="24"/>
              </w:rPr>
              <w:t>华兰生物</w:t>
            </w:r>
          </w:p>
        </w:tc>
        <w:tc>
          <w:tcPr>
            <w:tcW w:w="1701" w:type="dxa"/>
            <w:vAlign w:val="center"/>
          </w:tcPr>
          <w:p w:rsidR="00AC008A" w:rsidRDefault="00E13DDA">
            <w:pPr>
              <w:jc w:val="right"/>
            </w:pPr>
            <w:r>
              <w:rPr>
                <w:color w:val="000000"/>
                <w:kern w:val="0"/>
                <w:sz w:val="24"/>
                <w:szCs w:val="24"/>
              </w:rPr>
              <w:t>46,000,018</w:t>
            </w:r>
          </w:p>
        </w:tc>
        <w:tc>
          <w:tcPr>
            <w:tcW w:w="1984" w:type="dxa"/>
            <w:vAlign w:val="center"/>
          </w:tcPr>
          <w:p w:rsidR="00AC008A" w:rsidRDefault="00E13DDA">
            <w:pPr>
              <w:jc w:val="right"/>
            </w:pPr>
            <w:r>
              <w:rPr>
                <w:color w:val="000000"/>
                <w:kern w:val="0"/>
                <w:sz w:val="24"/>
                <w:szCs w:val="24"/>
              </w:rPr>
              <w:t>1,616,900,632.70</w:t>
            </w:r>
          </w:p>
        </w:tc>
        <w:tc>
          <w:tcPr>
            <w:tcW w:w="1559" w:type="dxa"/>
            <w:vAlign w:val="center"/>
          </w:tcPr>
          <w:p w:rsidR="00AC008A" w:rsidRDefault="00E13DDA">
            <w:pPr>
              <w:jc w:val="right"/>
            </w:pPr>
            <w:r>
              <w:rPr>
                <w:color w:val="000000"/>
                <w:kern w:val="0"/>
                <w:sz w:val="24"/>
                <w:szCs w:val="24"/>
              </w:rPr>
              <w:t>8.67</w:t>
            </w:r>
          </w:p>
        </w:tc>
      </w:tr>
      <w:tr w:rsidR="00AC008A">
        <w:tc>
          <w:tcPr>
            <w:tcW w:w="851" w:type="dxa"/>
            <w:vAlign w:val="center"/>
          </w:tcPr>
          <w:p w:rsidR="00AC008A" w:rsidRDefault="00E13DDA">
            <w:pPr>
              <w:jc w:val="center"/>
            </w:pPr>
            <w:r>
              <w:rPr>
                <w:color w:val="000000"/>
                <w:kern w:val="0"/>
                <w:sz w:val="24"/>
                <w:szCs w:val="24"/>
              </w:rPr>
              <w:t>7</w:t>
            </w:r>
          </w:p>
        </w:tc>
        <w:tc>
          <w:tcPr>
            <w:tcW w:w="1276" w:type="dxa"/>
            <w:vAlign w:val="center"/>
          </w:tcPr>
          <w:p w:rsidR="00AC008A" w:rsidRDefault="00E13DDA">
            <w:pPr>
              <w:jc w:val="center"/>
            </w:pPr>
            <w:r>
              <w:rPr>
                <w:color w:val="000000"/>
                <w:kern w:val="0"/>
                <w:sz w:val="24"/>
                <w:szCs w:val="24"/>
              </w:rPr>
              <w:t>300015</w:t>
            </w:r>
          </w:p>
        </w:tc>
        <w:tc>
          <w:tcPr>
            <w:tcW w:w="1418" w:type="dxa"/>
            <w:vAlign w:val="center"/>
          </w:tcPr>
          <w:p w:rsidR="00AC008A" w:rsidRDefault="00E13DDA">
            <w:pPr>
              <w:jc w:val="center"/>
            </w:pPr>
            <w:r>
              <w:rPr>
                <w:color w:val="000000"/>
                <w:kern w:val="0"/>
                <w:sz w:val="24"/>
                <w:szCs w:val="24"/>
              </w:rPr>
              <w:t>爱尔眼科</w:t>
            </w:r>
          </w:p>
        </w:tc>
        <w:tc>
          <w:tcPr>
            <w:tcW w:w="1701" w:type="dxa"/>
            <w:vAlign w:val="center"/>
          </w:tcPr>
          <w:p w:rsidR="00AC008A" w:rsidRDefault="00E13DDA">
            <w:pPr>
              <w:jc w:val="right"/>
            </w:pPr>
            <w:r>
              <w:rPr>
                <w:color w:val="000000"/>
                <w:kern w:val="0"/>
                <w:sz w:val="24"/>
                <w:szCs w:val="24"/>
              </w:rPr>
              <w:t>27,000,022</w:t>
            </w:r>
          </w:p>
        </w:tc>
        <w:tc>
          <w:tcPr>
            <w:tcW w:w="1984" w:type="dxa"/>
            <w:vAlign w:val="center"/>
          </w:tcPr>
          <w:p w:rsidR="00AC008A" w:rsidRDefault="00E13DDA">
            <w:pPr>
              <w:jc w:val="right"/>
            </w:pPr>
            <w:r>
              <w:rPr>
                <w:color w:val="000000"/>
                <w:kern w:val="0"/>
                <w:sz w:val="24"/>
                <w:szCs w:val="24"/>
              </w:rPr>
              <w:t>1,068,120,870.32</w:t>
            </w:r>
          </w:p>
        </w:tc>
        <w:tc>
          <w:tcPr>
            <w:tcW w:w="1559" w:type="dxa"/>
            <w:vAlign w:val="center"/>
          </w:tcPr>
          <w:p w:rsidR="00AC008A" w:rsidRDefault="00E13DDA">
            <w:pPr>
              <w:jc w:val="right"/>
            </w:pPr>
            <w:r>
              <w:rPr>
                <w:color w:val="000000"/>
                <w:kern w:val="0"/>
                <w:sz w:val="24"/>
                <w:szCs w:val="24"/>
              </w:rPr>
              <w:t>5.73</w:t>
            </w:r>
          </w:p>
        </w:tc>
      </w:tr>
      <w:tr w:rsidR="00AC008A">
        <w:tc>
          <w:tcPr>
            <w:tcW w:w="851" w:type="dxa"/>
            <w:vAlign w:val="center"/>
          </w:tcPr>
          <w:p w:rsidR="00AC008A" w:rsidRDefault="00E13DDA">
            <w:pPr>
              <w:jc w:val="center"/>
            </w:pPr>
            <w:r>
              <w:rPr>
                <w:color w:val="000000"/>
                <w:kern w:val="0"/>
                <w:sz w:val="24"/>
                <w:szCs w:val="24"/>
              </w:rPr>
              <w:t>8</w:t>
            </w:r>
          </w:p>
        </w:tc>
        <w:tc>
          <w:tcPr>
            <w:tcW w:w="1276" w:type="dxa"/>
            <w:vAlign w:val="center"/>
          </w:tcPr>
          <w:p w:rsidR="00AC008A" w:rsidRDefault="00E13DDA">
            <w:pPr>
              <w:jc w:val="center"/>
            </w:pPr>
            <w:r>
              <w:rPr>
                <w:color w:val="000000"/>
                <w:kern w:val="0"/>
                <w:sz w:val="24"/>
                <w:szCs w:val="24"/>
              </w:rPr>
              <w:t>600161</w:t>
            </w:r>
          </w:p>
        </w:tc>
        <w:tc>
          <w:tcPr>
            <w:tcW w:w="1418" w:type="dxa"/>
            <w:vAlign w:val="center"/>
          </w:tcPr>
          <w:p w:rsidR="00AC008A" w:rsidRDefault="00E13DDA">
            <w:pPr>
              <w:jc w:val="center"/>
            </w:pPr>
            <w:r>
              <w:rPr>
                <w:color w:val="000000"/>
                <w:kern w:val="0"/>
                <w:sz w:val="24"/>
                <w:szCs w:val="24"/>
              </w:rPr>
              <w:t>天坛生物</w:t>
            </w:r>
          </w:p>
        </w:tc>
        <w:tc>
          <w:tcPr>
            <w:tcW w:w="1701" w:type="dxa"/>
            <w:vAlign w:val="center"/>
          </w:tcPr>
          <w:p w:rsidR="00AC008A" w:rsidRDefault="00E13DDA">
            <w:pPr>
              <w:jc w:val="right"/>
            </w:pPr>
            <w:r>
              <w:rPr>
                <w:color w:val="000000"/>
                <w:kern w:val="0"/>
                <w:sz w:val="24"/>
                <w:szCs w:val="24"/>
              </w:rPr>
              <w:t>34,400,024</w:t>
            </w:r>
          </w:p>
        </w:tc>
        <w:tc>
          <w:tcPr>
            <w:tcW w:w="1984" w:type="dxa"/>
            <w:vAlign w:val="center"/>
          </w:tcPr>
          <w:p w:rsidR="00AC008A" w:rsidRDefault="00E13DDA">
            <w:pPr>
              <w:jc w:val="right"/>
            </w:pPr>
            <w:r>
              <w:rPr>
                <w:color w:val="000000"/>
                <w:kern w:val="0"/>
                <w:sz w:val="24"/>
                <w:szCs w:val="24"/>
              </w:rPr>
              <w:t>961,136,670.56</w:t>
            </w:r>
          </w:p>
        </w:tc>
        <w:tc>
          <w:tcPr>
            <w:tcW w:w="1559" w:type="dxa"/>
            <w:vAlign w:val="center"/>
          </w:tcPr>
          <w:p w:rsidR="00AC008A" w:rsidRDefault="00E13DDA">
            <w:pPr>
              <w:jc w:val="right"/>
            </w:pPr>
            <w:r>
              <w:rPr>
                <w:color w:val="000000"/>
                <w:kern w:val="0"/>
                <w:sz w:val="24"/>
                <w:szCs w:val="24"/>
              </w:rPr>
              <w:t>5.16</w:t>
            </w:r>
          </w:p>
        </w:tc>
      </w:tr>
      <w:tr w:rsidR="00AC008A">
        <w:tc>
          <w:tcPr>
            <w:tcW w:w="851" w:type="dxa"/>
            <w:vAlign w:val="center"/>
          </w:tcPr>
          <w:p w:rsidR="00AC008A" w:rsidRDefault="00E13DDA">
            <w:pPr>
              <w:jc w:val="center"/>
            </w:pPr>
            <w:r>
              <w:rPr>
                <w:color w:val="000000"/>
                <w:kern w:val="0"/>
                <w:sz w:val="24"/>
                <w:szCs w:val="24"/>
              </w:rPr>
              <w:t>9</w:t>
            </w:r>
          </w:p>
        </w:tc>
        <w:tc>
          <w:tcPr>
            <w:tcW w:w="1276" w:type="dxa"/>
            <w:vAlign w:val="center"/>
          </w:tcPr>
          <w:p w:rsidR="00AC008A" w:rsidRDefault="00E13DDA">
            <w:pPr>
              <w:jc w:val="center"/>
            </w:pPr>
            <w:r>
              <w:rPr>
                <w:color w:val="000000"/>
                <w:kern w:val="0"/>
                <w:sz w:val="24"/>
                <w:szCs w:val="24"/>
              </w:rPr>
              <w:t>002032</w:t>
            </w:r>
          </w:p>
        </w:tc>
        <w:tc>
          <w:tcPr>
            <w:tcW w:w="1418" w:type="dxa"/>
            <w:vAlign w:val="center"/>
          </w:tcPr>
          <w:p w:rsidR="00AC008A" w:rsidRDefault="00E13DDA">
            <w:pPr>
              <w:jc w:val="center"/>
            </w:pPr>
            <w:r>
              <w:rPr>
                <w:color w:val="000000"/>
                <w:kern w:val="0"/>
                <w:sz w:val="24"/>
                <w:szCs w:val="24"/>
              </w:rPr>
              <w:t>苏泊尔</w:t>
            </w:r>
          </w:p>
        </w:tc>
        <w:tc>
          <w:tcPr>
            <w:tcW w:w="1701" w:type="dxa"/>
            <w:vAlign w:val="center"/>
          </w:tcPr>
          <w:p w:rsidR="00AC008A" w:rsidRDefault="00E13DDA">
            <w:pPr>
              <w:jc w:val="right"/>
            </w:pPr>
            <w:r>
              <w:rPr>
                <w:color w:val="000000"/>
                <w:kern w:val="0"/>
                <w:sz w:val="24"/>
                <w:szCs w:val="24"/>
              </w:rPr>
              <w:t>12,500,000</w:t>
            </w:r>
          </w:p>
        </w:tc>
        <w:tc>
          <w:tcPr>
            <w:tcW w:w="1984" w:type="dxa"/>
            <w:vAlign w:val="center"/>
          </w:tcPr>
          <w:p w:rsidR="00AC008A" w:rsidRDefault="00E13DDA">
            <w:pPr>
              <w:jc w:val="right"/>
            </w:pPr>
            <w:r>
              <w:rPr>
                <w:color w:val="000000"/>
                <w:kern w:val="0"/>
                <w:sz w:val="24"/>
                <w:szCs w:val="24"/>
              </w:rPr>
              <w:t>959,750,000.00</w:t>
            </w:r>
          </w:p>
        </w:tc>
        <w:tc>
          <w:tcPr>
            <w:tcW w:w="1559" w:type="dxa"/>
            <w:vAlign w:val="center"/>
          </w:tcPr>
          <w:p w:rsidR="00AC008A" w:rsidRDefault="00E13DDA">
            <w:pPr>
              <w:jc w:val="right"/>
            </w:pPr>
            <w:r>
              <w:rPr>
                <w:color w:val="000000"/>
                <w:kern w:val="0"/>
                <w:sz w:val="24"/>
                <w:szCs w:val="24"/>
              </w:rPr>
              <w:t>5.15</w:t>
            </w:r>
          </w:p>
        </w:tc>
      </w:tr>
      <w:tr w:rsidR="00AC008A">
        <w:tc>
          <w:tcPr>
            <w:tcW w:w="851" w:type="dxa"/>
            <w:vAlign w:val="center"/>
          </w:tcPr>
          <w:p w:rsidR="00AC008A" w:rsidRDefault="00E13DDA">
            <w:pPr>
              <w:jc w:val="center"/>
            </w:pPr>
            <w:r>
              <w:rPr>
                <w:color w:val="000000"/>
                <w:kern w:val="0"/>
                <w:sz w:val="24"/>
                <w:szCs w:val="24"/>
              </w:rPr>
              <w:t>10</w:t>
            </w:r>
          </w:p>
        </w:tc>
        <w:tc>
          <w:tcPr>
            <w:tcW w:w="1276" w:type="dxa"/>
            <w:vAlign w:val="center"/>
          </w:tcPr>
          <w:p w:rsidR="00AC008A" w:rsidRDefault="00E13DDA">
            <w:pPr>
              <w:jc w:val="center"/>
            </w:pPr>
            <w:r>
              <w:rPr>
                <w:color w:val="000000"/>
                <w:kern w:val="0"/>
                <w:sz w:val="24"/>
                <w:szCs w:val="24"/>
              </w:rPr>
              <w:t>600066</w:t>
            </w:r>
          </w:p>
        </w:tc>
        <w:tc>
          <w:tcPr>
            <w:tcW w:w="1418" w:type="dxa"/>
            <w:vAlign w:val="center"/>
          </w:tcPr>
          <w:p w:rsidR="00AC008A" w:rsidRDefault="00E13DDA">
            <w:pPr>
              <w:jc w:val="center"/>
            </w:pPr>
            <w:r>
              <w:rPr>
                <w:color w:val="000000"/>
                <w:kern w:val="0"/>
                <w:sz w:val="24"/>
                <w:szCs w:val="24"/>
              </w:rPr>
              <w:t>宇通客车</w:t>
            </w:r>
          </w:p>
        </w:tc>
        <w:tc>
          <w:tcPr>
            <w:tcW w:w="1701" w:type="dxa"/>
            <w:vAlign w:val="center"/>
          </w:tcPr>
          <w:p w:rsidR="00AC008A" w:rsidRDefault="00E13DDA">
            <w:pPr>
              <w:jc w:val="right"/>
            </w:pPr>
            <w:r>
              <w:rPr>
                <w:color w:val="000000"/>
                <w:kern w:val="0"/>
                <w:sz w:val="24"/>
                <w:szCs w:val="24"/>
              </w:rPr>
              <w:t>65,000,046</w:t>
            </w:r>
          </w:p>
        </w:tc>
        <w:tc>
          <w:tcPr>
            <w:tcW w:w="1984" w:type="dxa"/>
            <w:vAlign w:val="center"/>
          </w:tcPr>
          <w:p w:rsidR="00AC008A" w:rsidRDefault="00E13DDA">
            <w:pPr>
              <w:jc w:val="right"/>
            </w:pPr>
            <w:r>
              <w:rPr>
                <w:color w:val="000000"/>
                <w:kern w:val="0"/>
                <w:sz w:val="24"/>
                <w:szCs w:val="24"/>
              </w:rPr>
              <w:t>926,250,655.50</w:t>
            </w:r>
          </w:p>
        </w:tc>
        <w:tc>
          <w:tcPr>
            <w:tcW w:w="1559" w:type="dxa"/>
            <w:vAlign w:val="center"/>
          </w:tcPr>
          <w:p w:rsidR="00AC008A" w:rsidRDefault="00E13DDA">
            <w:pPr>
              <w:jc w:val="right"/>
            </w:pPr>
            <w:r>
              <w:rPr>
                <w:color w:val="000000"/>
                <w:kern w:val="0"/>
                <w:sz w:val="24"/>
                <w:szCs w:val="24"/>
              </w:rPr>
              <w:t>4.97</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注：本报告期末本基金投资海尔智家占基金资产净值比例超过</w:t>
      </w:r>
      <w:r w:rsidRPr="006C56AA">
        <w:rPr>
          <w:color w:val="000000"/>
          <w:sz w:val="24"/>
          <w:szCs w:val="24"/>
        </w:rPr>
        <w:t>10%</w:t>
      </w:r>
      <w:r w:rsidRPr="006C56AA">
        <w:rPr>
          <w:color w:val="000000"/>
          <w:sz w:val="24"/>
          <w:szCs w:val="24"/>
        </w:rPr>
        <w:t>，属于被动超标。</w:t>
      </w:r>
    </w:p>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501,334,000.00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2.69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501,334,000.00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2.69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lastRenderedPageBreak/>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501,334,000.00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2.69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AC008A">
        <w:tc>
          <w:tcPr>
            <w:tcW w:w="959" w:type="dxa"/>
            <w:vAlign w:val="center"/>
          </w:tcPr>
          <w:p w:rsidR="00AC008A" w:rsidRDefault="00E13DDA">
            <w:pPr>
              <w:jc w:val="center"/>
            </w:pPr>
            <w:r>
              <w:rPr>
                <w:color w:val="000000"/>
                <w:kern w:val="0"/>
                <w:sz w:val="24"/>
                <w:szCs w:val="24"/>
              </w:rPr>
              <w:t>1</w:t>
            </w:r>
          </w:p>
        </w:tc>
        <w:tc>
          <w:tcPr>
            <w:tcW w:w="1276" w:type="dxa"/>
            <w:vAlign w:val="center"/>
          </w:tcPr>
          <w:p w:rsidR="00AC008A" w:rsidRDefault="00E13DDA">
            <w:pPr>
              <w:jc w:val="center"/>
            </w:pPr>
            <w:r>
              <w:rPr>
                <w:color w:val="000000"/>
                <w:kern w:val="0"/>
                <w:sz w:val="24"/>
                <w:szCs w:val="24"/>
              </w:rPr>
              <w:t>190402</w:t>
            </w:r>
          </w:p>
        </w:tc>
        <w:tc>
          <w:tcPr>
            <w:tcW w:w="1275" w:type="dxa"/>
            <w:vAlign w:val="center"/>
          </w:tcPr>
          <w:p w:rsidR="00AC008A" w:rsidRDefault="00E13DDA">
            <w:pPr>
              <w:jc w:val="center"/>
            </w:pPr>
            <w:r>
              <w:rPr>
                <w:color w:val="000000"/>
                <w:kern w:val="0"/>
                <w:sz w:val="24"/>
                <w:szCs w:val="24"/>
              </w:rPr>
              <w:t>19</w:t>
            </w:r>
            <w:r>
              <w:rPr>
                <w:color w:val="000000"/>
                <w:kern w:val="0"/>
                <w:sz w:val="24"/>
                <w:szCs w:val="24"/>
              </w:rPr>
              <w:t>农发</w:t>
            </w:r>
            <w:r>
              <w:rPr>
                <w:color w:val="000000"/>
                <w:kern w:val="0"/>
                <w:sz w:val="24"/>
                <w:szCs w:val="24"/>
              </w:rPr>
              <w:t>02</w:t>
            </w:r>
          </w:p>
        </w:tc>
        <w:tc>
          <w:tcPr>
            <w:tcW w:w="1560" w:type="dxa"/>
            <w:vAlign w:val="center"/>
          </w:tcPr>
          <w:p w:rsidR="00AC008A" w:rsidRDefault="00E13DDA">
            <w:pPr>
              <w:jc w:val="right"/>
            </w:pPr>
            <w:r>
              <w:rPr>
                <w:color w:val="000000"/>
                <w:kern w:val="0"/>
                <w:sz w:val="24"/>
                <w:szCs w:val="24"/>
              </w:rPr>
              <w:t>2,200,000</w:t>
            </w:r>
          </w:p>
        </w:tc>
        <w:tc>
          <w:tcPr>
            <w:tcW w:w="1984" w:type="dxa"/>
            <w:vAlign w:val="center"/>
          </w:tcPr>
          <w:p w:rsidR="00AC008A" w:rsidRDefault="00E13DDA">
            <w:pPr>
              <w:jc w:val="right"/>
            </w:pPr>
            <w:r>
              <w:rPr>
                <w:color w:val="000000"/>
                <w:kern w:val="0"/>
                <w:sz w:val="24"/>
                <w:szCs w:val="24"/>
              </w:rPr>
              <w:t>220,154,000.00</w:t>
            </w:r>
          </w:p>
        </w:tc>
        <w:tc>
          <w:tcPr>
            <w:tcW w:w="1474" w:type="dxa"/>
            <w:vAlign w:val="center"/>
          </w:tcPr>
          <w:p w:rsidR="00AC008A" w:rsidRDefault="00E13DDA">
            <w:pPr>
              <w:jc w:val="right"/>
            </w:pPr>
            <w:r>
              <w:rPr>
                <w:color w:val="000000"/>
                <w:kern w:val="0"/>
                <w:sz w:val="24"/>
                <w:szCs w:val="24"/>
              </w:rPr>
              <w:t>1.18</w:t>
            </w:r>
          </w:p>
        </w:tc>
      </w:tr>
      <w:tr w:rsidR="00AC008A">
        <w:tc>
          <w:tcPr>
            <w:tcW w:w="959" w:type="dxa"/>
            <w:vAlign w:val="center"/>
          </w:tcPr>
          <w:p w:rsidR="00AC008A" w:rsidRDefault="00E13DDA">
            <w:pPr>
              <w:jc w:val="center"/>
            </w:pPr>
            <w:r>
              <w:rPr>
                <w:color w:val="000000"/>
                <w:kern w:val="0"/>
                <w:sz w:val="24"/>
                <w:szCs w:val="24"/>
              </w:rPr>
              <w:t>2</w:t>
            </w:r>
          </w:p>
        </w:tc>
        <w:tc>
          <w:tcPr>
            <w:tcW w:w="1276" w:type="dxa"/>
            <w:vAlign w:val="center"/>
          </w:tcPr>
          <w:p w:rsidR="00AC008A" w:rsidRDefault="00E13DDA">
            <w:pPr>
              <w:jc w:val="center"/>
            </w:pPr>
            <w:r>
              <w:rPr>
                <w:color w:val="000000"/>
                <w:kern w:val="0"/>
                <w:sz w:val="24"/>
                <w:szCs w:val="24"/>
              </w:rPr>
              <w:t>170205</w:t>
            </w:r>
          </w:p>
        </w:tc>
        <w:tc>
          <w:tcPr>
            <w:tcW w:w="1275" w:type="dxa"/>
            <w:vAlign w:val="center"/>
          </w:tcPr>
          <w:p w:rsidR="00AC008A" w:rsidRDefault="00E13DDA">
            <w:pPr>
              <w:jc w:val="center"/>
            </w:pPr>
            <w:r>
              <w:rPr>
                <w:color w:val="000000"/>
                <w:kern w:val="0"/>
                <w:sz w:val="24"/>
                <w:szCs w:val="24"/>
              </w:rPr>
              <w:t>17</w:t>
            </w:r>
            <w:r>
              <w:rPr>
                <w:color w:val="000000"/>
                <w:kern w:val="0"/>
                <w:sz w:val="24"/>
                <w:szCs w:val="24"/>
              </w:rPr>
              <w:t>国开</w:t>
            </w:r>
            <w:r>
              <w:rPr>
                <w:color w:val="000000"/>
                <w:kern w:val="0"/>
                <w:sz w:val="24"/>
                <w:szCs w:val="24"/>
              </w:rPr>
              <w:t>05</w:t>
            </w:r>
          </w:p>
        </w:tc>
        <w:tc>
          <w:tcPr>
            <w:tcW w:w="1560" w:type="dxa"/>
            <w:vAlign w:val="center"/>
          </w:tcPr>
          <w:p w:rsidR="00AC008A" w:rsidRDefault="00E13DDA">
            <w:pPr>
              <w:jc w:val="right"/>
            </w:pPr>
            <w:r>
              <w:rPr>
                <w:color w:val="000000"/>
                <w:kern w:val="0"/>
                <w:sz w:val="24"/>
                <w:szCs w:val="24"/>
              </w:rPr>
              <w:t>800,000</w:t>
            </w:r>
          </w:p>
        </w:tc>
        <w:tc>
          <w:tcPr>
            <w:tcW w:w="1984" w:type="dxa"/>
            <w:vAlign w:val="center"/>
          </w:tcPr>
          <w:p w:rsidR="00AC008A" w:rsidRDefault="00E13DDA">
            <w:pPr>
              <w:jc w:val="right"/>
            </w:pPr>
            <w:r>
              <w:rPr>
                <w:color w:val="000000"/>
                <w:kern w:val="0"/>
                <w:sz w:val="24"/>
                <w:szCs w:val="24"/>
              </w:rPr>
              <w:t>80,368,000.00</w:t>
            </w:r>
          </w:p>
        </w:tc>
        <w:tc>
          <w:tcPr>
            <w:tcW w:w="1474" w:type="dxa"/>
            <w:vAlign w:val="center"/>
          </w:tcPr>
          <w:p w:rsidR="00AC008A" w:rsidRDefault="00E13DDA">
            <w:pPr>
              <w:jc w:val="right"/>
            </w:pPr>
            <w:r>
              <w:rPr>
                <w:color w:val="000000"/>
                <w:kern w:val="0"/>
                <w:sz w:val="24"/>
                <w:szCs w:val="24"/>
              </w:rPr>
              <w:t>0.43</w:t>
            </w:r>
          </w:p>
        </w:tc>
      </w:tr>
      <w:tr w:rsidR="00AC008A">
        <w:tc>
          <w:tcPr>
            <w:tcW w:w="959" w:type="dxa"/>
            <w:vAlign w:val="center"/>
          </w:tcPr>
          <w:p w:rsidR="00AC008A" w:rsidRDefault="00E13DDA">
            <w:pPr>
              <w:jc w:val="center"/>
            </w:pPr>
            <w:r>
              <w:rPr>
                <w:color w:val="000000"/>
                <w:kern w:val="0"/>
                <w:sz w:val="24"/>
                <w:szCs w:val="24"/>
              </w:rPr>
              <w:t>3</w:t>
            </w:r>
          </w:p>
        </w:tc>
        <w:tc>
          <w:tcPr>
            <w:tcW w:w="1276" w:type="dxa"/>
            <w:vAlign w:val="center"/>
          </w:tcPr>
          <w:p w:rsidR="00AC008A" w:rsidRDefault="00E13DDA">
            <w:pPr>
              <w:jc w:val="center"/>
            </w:pPr>
            <w:r>
              <w:rPr>
                <w:color w:val="000000"/>
                <w:kern w:val="0"/>
                <w:sz w:val="24"/>
                <w:szCs w:val="24"/>
              </w:rPr>
              <w:t>150313</w:t>
            </w:r>
          </w:p>
        </w:tc>
        <w:tc>
          <w:tcPr>
            <w:tcW w:w="1275" w:type="dxa"/>
            <w:vAlign w:val="center"/>
          </w:tcPr>
          <w:p w:rsidR="00AC008A" w:rsidRDefault="00E13DDA">
            <w:pPr>
              <w:jc w:val="center"/>
            </w:pPr>
            <w:r>
              <w:rPr>
                <w:color w:val="000000"/>
                <w:kern w:val="0"/>
                <w:sz w:val="24"/>
                <w:szCs w:val="24"/>
              </w:rPr>
              <w:t>15</w:t>
            </w:r>
            <w:r>
              <w:rPr>
                <w:color w:val="000000"/>
                <w:kern w:val="0"/>
                <w:sz w:val="24"/>
                <w:szCs w:val="24"/>
              </w:rPr>
              <w:t>进出</w:t>
            </w:r>
            <w:r>
              <w:rPr>
                <w:color w:val="000000"/>
                <w:kern w:val="0"/>
                <w:sz w:val="24"/>
                <w:szCs w:val="24"/>
              </w:rPr>
              <w:t>13</w:t>
            </w:r>
          </w:p>
        </w:tc>
        <w:tc>
          <w:tcPr>
            <w:tcW w:w="1560" w:type="dxa"/>
            <w:vAlign w:val="center"/>
          </w:tcPr>
          <w:p w:rsidR="00AC008A" w:rsidRDefault="00E13DDA">
            <w:pPr>
              <w:jc w:val="right"/>
            </w:pPr>
            <w:r>
              <w:rPr>
                <w:color w:val="000000"/>
                <w:kern w:val="0"/>
                <w:sz w:val="24"/>
                <w:szCs w:val="24"/>
              </w:rPr>
              <w:t>700,000</w:t>
            </w:r>
          </w:p>
        </w:tc>
        <w:tc>
          <w:tcPr>
            <w:tcW w:w="1984" w:type="dxa"/>
            <w:vAlign w:val="center"/>
          </w:tcPr>
          <w:p w:rsidR="00AC008A" w:rsidRDefault="00E13DDA">
            <w:pPr>
              <w:jc w:val="right"/>
            </w:pPr>
            <w:r>
              <w:rPr>
                <w:color w:val="000000"/>
                <w:kern w:val="0"/>
                <w:sz w:val="24"/>
                <w:szCs w:val="24"/>
              </w:rPr>
              <w:t>70,455,000.00</w:t>
            </w:r>
          </w:p>
        </w:tc>
        <w:tc>
          <w:tcPr>
            <w:tcW w:w="1474" w:type="dxa"/>
            <w:vAlign w:val="center"/>
          </w:tcPr>
          <w:p w:rsidR="00AC008A" w:rsidRDefault="00E13DDA">
            <w:pPr>
              <w:jc w:val="right"/>
            </w:pPr>
            <w:r>
              <w:rPr>
                <w:color w:val="000000"/>
                <w:kern w:val="0"/>
                <w:sz w:val="24"/>
                <w:szCs w:val="24"/>
              </w:rPr>
              <w:t>0.38</w:t>
            </w:r>
          </w:p>
        </w:tc>
      </w:tr>
      <w:tr w:rsidR="00AC008A">
        <w:tc>
          <w:tcPr>
            <w:tcW w:w="959" w:type="dxa"/>
            <w:vAlign w:val="center"/>
          </w:tcPr>
          <w:p w:rsidR="00AC008A" w:rsidRDefault="00E13DDA">
            <w:pPr>
              <w:jc w:val="center"/>
            </w:pPr>
            <w:r>
              <w:rPr>
                <w:color w:val="000000"/>
                <w:kern w:val="0"/>
                <w:sz w:val="24"/>
                <w:szCs w:val="24"/>
              </w:rPr>
              <w:t>4</w:t>
            </w:r>
          </w:p>
        </w:tc>
        <w:tc>
          <w:tcPr>
            <w:tcW w:w="1276" w:type="dxa"/>
            <w:vAlign w:val="center"/>
          </w:tcPr>
          <w:p w:rsidR="00AC008A" w:rsidRDefault="00E13DDA">
            <w:pPr>
              <w:jc w:val="center"/>
            </w:pPr>
            <w:r>
              <w:rPr>
                <w:color w:val="000000"/>
                <w:kern w:val="0"/>
                <w:sz w:val="24"/>
                <w:szCs w:val="24"/>
              </w:rPr>
              <w:t>190304</w:t>
            </w:r>
          </w:p>
        </w:tc>
        <w:tc>
          <w:tcPr>
            <w:tcW w:w="1275" w:type="dxa"/>
            <w:vAlign w:val="center"/>
          </w:tcPr>
          <w:p w:rsidR="00AC008A" w:rsidRDefault="00E13DDA">
            <w:pPr>
              <w:jc w:val="center"/>
            </w:pPr>
            <w:r>
              <w:rPr>
                <w:color w:val="000000"/>
                <w:kern w:val="0"/>
                <w:sz w:val="24"/>
                <w:szCs w:val="24"/>
              </w:rPr>
              <w:t>19</w:t>
            </w:r>
            <w:r>
              <w:rPr>
                <w:color w:val="000000"/>
                <w:kern w:val="0"/>
                <w:sz w:val="24"/>
                <w:szCs w:val="24"/>
              </w:rPr>
              <w:t>进出</w:t>
            </w:r>
            <w:r>
              <w:rPr>
                <w:color w:val="000000"/>
                <w:kern w:val="0"/>
                <w:sz w:val="24"/>
                <w:szCs w:val="24"/>
              </w:rPr>
              <w:t>04</w:t>
            </w:r>
          </w:p>
        </w:tc>
        <w:tc>
          <w:tcPr>
            <w:tcW w:w="1560" w:type="dxa"/>
            <w:vAlign w:val="center"/>
          </w:tcPr>
          <w:p w:rsidR="00AC008A" w:rsidRDefault="00E13DDA">
            <w:pPr>
              <w:jc w:val="right"/>
            </w:pPr>
            <w:r>
              <w:rPr>
                <w:color w:val="000000"/>
                <w:kern w:val="0"/>
                <w:sz w:val="24"/>
                <w:szCs w:val="24"/>
              </w:rPr>
              <w:t>500,000</w:t>
            </w:r>
          </w:p>
        </w:tc>
        <w:tc>
          <w:tcPr>
            <w:tcW w:w="1984" w:type="dxa"/>
            <w:vAlign w:val="center"/>
          </w:tcPr>
          <w:p w:rsidR="00AC008A" w:rsidRDefault="00E13DDA">
            <w:pPr>
              <w:jc w:val="right"/>
            </w:pPr>
            <w:r>
              <w:rPr>
                <w:color w:val="000000"/>
                <w:kern w:val="0"/>
                <w:sz w:val="24"/>
                <w:szCs w:val="24"/>
              </w:rPr>
              <w:t>50,085,000.00</w:t>
            </w:r>
          </w:p>
        </w:tc>
        <w:tc>
          <w:tcPr>
            <w:tcW w:w="1474" w:type="dxa"/>
            <w:vAlign w:val="center"/>
          </w:tcPr>
          <w:p w:rsidR="00AC008A" w:rsidRDefault="00E13DDA">
            <w:pPr>
              <w:jc w:val="right"/>
            </w:pPr>
            <w:r>
              <w:rPr>
                <w:color w:val="000000"/>
                <w:kern w:val="0"/>
                <w:sz w:val="24"/>
                <w:szCs w:val="24"/>
              </w:rPr>
              <w:t>0.27</w:t>
            </w:r>
          </w:p>
        </w:tc>
      </w:tr>
      <w:tr w:rsidR="00AC008A">
        <w:tc>
          <w:tcPr>
            <w:tcW w:w="959" w:type="dxa"/>
            <w:vAlign w:val="center"/>
          </w:tcPr>
          <w:p w:rsidR="00AC008A" w:rsidRDefault="00E13DDA">
            <w:pPr>
              <w:jc w:val="center"/>
            </w:pPr>
            <w:r>
              <w:rPr>
                <w:color w:val="000000"/>
                <w:kern w:val="0"/>
                <w:sz w:val="24"/>
                <w:szCs w:val="24"/>
              </w:rPr>
              <w:t>5</w:t>
            </w:r>
          </w:p>
        </w:tc>
        <w:tc>
          <w:tcPr>
            <w:tcW w:w="1276" w:type="dxa"/>
            <w:vAlign w:val="center"/>
          </w:tcPr>
          <w:p w:rsidR="00AC008A" w:rsidRDefault="00E13DDA">
            <w:pPr>
              <w:jc w:val="center"/>
            </w:pPr>
            <w:r>
              <w:rPr>
                <w:color w:val="000000"/>
                <w:kern w:val="0"/>
                <w:sz w:val="24"/>
                <w:szCs w:val="24"/>
              </w:rPr>
              <w:t>050203</w:t>
            </w:r>
          </w:p>
        </w:tc>
        <w:tc>
          <w:tcPr>
            <w:tcW w:w="1275" w:type="dxa"/>
            <w:vAlign w:val="center"/>
          </w:tcPr>
          <w:p w:rsidR="00AC008A" w:rsidRDefault="00E13DDA">
            <w:pPr>
              <w:jc w:val="center"/>
            </w:pPr>
            <w:r>
              <w:rPr>
                <w:color w:val="000000"/>
                <w:kern w:val="0"/>
                <w:sz w:val="24"/>
                <w:szCs w:val="24"/>
              </w:rPr>
              <w:t>05</w:t>
            </w:r>
            <w:r>
              <w:rPr>
                <w:color w:val="000000"/>
                <w:kern w:val="0"/>
                <w:sz w:val="24"/>
                <w:szCs w:val="24"/>
              </w:rPr>
              <w:t>国开</w:t>
            </w:r>
            <w:r>
              <w:rPr>
                <w:color w:val="000000"/>
                <w:kern w:val="0"/>
                <w:sz w:val="24"/>
                <w:szCs w:val="24"/>
              </w:rPr>
              <w:t>03</w:t>
            </w:r>
          </w:p>
        </w:tc>
        <w:tc>
          <w:tcPr>
            <w:tcW w:w="1560" w:type="dxa"/>
            <w:vAlign w:val="center"/>
          </w:tcPr>
          <w:p w:rsidR="00AC008A" w:rsidRDefault="00E13DDA">
            <w:pPr>
              <w:jc w:val="right"/>
            </w:pPr>
            <w:r>
              <w:rPr>
                <w:color w:val="000000"/>
                <w:kern w:val="0"/>
                <w:sz w:val="24"/>
                <w:szCs w:val="24"/>
              </w:rPr>
              <w:t>400,000</w:t>
            </w:r>
          </w:p>
        </w:tc>
        <w:tc>
          <w:tcPr>
            <w:tcW w:w="1984" w:type="dxa"/>
            <w:vAlign w:val="center"/>
          </w:tcPr>
          <w:p w:rsidR="00AC008A" w:rsidRDefault="00E13DDA">
            <w:pPr>
              <w:jc w:val="right"/>
            </w:pPr>
            <w:r>
              <w:rPr>
                <w:color w:val="000000"/>
                <w:kern w:val="0"/>
                <w:sz w:val="24"/>
                <w:szCs w:val="24"/>
              </w:rPr>
              <w:t>40,232,000.00</w:t>
            </w:r>
          </w:p>
        </w:tc>
        <w:tc>
          <w:tcPr>
            <w:tcW w:w="1474" w:type="dxa"/>
            <w:vAlign w:val="center"/>
          </w:tcPr>
          <w:p w:rsidR="00AC008A" w:rsidRDefault="00E13DDA">
            <w:pPr>
              <w:jc w:val="right"/>
            </w:pPr>
            <w:r>
              <w:rPr>
                <w:color w:val="000000"/>
                <w:kern w:val="0"/>
                <w:sz w:val="24"/>
                <w:szCs w:val="24"/>
              </w:rPr>
              <w:t>0.22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1,385,659.13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12,539,249.82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lastRenderedPageBreak/>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11,170,013.15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75,355,679.79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100,450,601.89</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3,323,027,270.48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1,320,607,050.89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885,143,166.18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3,758,491,155.19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AC008A" w:rsidRDefault="00E13DDA">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中国证监会核准易方达中小盘股票型证券投资基金募集的文件；</w:t>
      </w:r>
    </w:p>
    <w:p w:rsidR="00AC008A" w:rsidRDefault="00E13DDA">
      <w:pPr>
        <w:spacing w:line="360" w:lineRule="auto"/>
        <w:ind w:firstLineChars="200" w:firstLine="480"/>
        <w:rPr>
          <w:color w:val="000000"/>
          <w:sz w:val="24"/>
          <w:szCs w:val="24"/>
        </w:rPr>
      </w:pPr>
      <w:r>
        <w:rPr>
          <w:color w:val="000000"/>
          <w:sz w:val="24"/>
          <w:szCs w:val="24"/>
        </w:rPr>
        <w:t>2.</w:t>
      </w:r>
      <w:r>
        <w:rPr>
          <w:color w:val="000000"/>
          <w:sz w:val="24"/>
          <w:szCs w:val="24"/>
        </w:rPr>
        <w:t>易方达基金管理有限公司关于旗下部分开放式基金更名及修改基金合同、托管协议的公告</w:t>
      </w:r>
    </w:p>
    <w:p w:rsidR="00AC008A" w:rsidRDefault="00E13DDA">
      <w:pPr>
        <w:spacing w:line="360" w:lineRule="auto"/>
        <w:ind w:firstLineChars="200" w:firstLine="480"/>
        <w:rPr>
          <w:color w:val="000000"/>
          <w:sz w:val="24"/>
          <w:szCs w:val="24"/>
        </w:rPr>
      </w:pPr>
      <w:r>
        <w:rPr>
          <w:color w:val="000000"/>
          <w:sz w:val="24"/>
          <w:szCs w:val="24"/>
        </w:rPr>
        <w:t>3.</w:t>
      </w:r>
      <w:r>
        <w:rPr>
          <w:color w:val="000000"/>
          <w:sz w:val="24"/>
          <w:szCs w:val="24"/>
        </w:rPr>
        <w:t>《易方达中小盘混合型证券投资基金基金合同》；</w:t>
      </w:r>
    </w:p>
    <w:p w:rsidR="00AC008A" w:rsidRDefault="00E13DDA">
      <w:pPr>
        <w:spacing w:line="360" w:lineRule="auto"/>
        <w:ind w:firstLineChars="200" w:firstLine="480"/>
        <w:rPr>
          <w:color w:val="000000"/>
          <w:sz w:val="24"/>
          <w:szCs w:val="24"/>
        </w:rPr>
      </w:pPr>
      <w:r>
        <w:rPr>
          <w:color w:val="000000"/>
          <w:sz w:val="24"/>
          <w:szCs w:val="24"/>
        </w:rPr>
        <w:t>4.</w:t>
      </w:r>
      <w:r>
        <w:rPr>
          <w:color w:val="000000"/>
          <w:sz w:val="24"/>
          <w:szCs w:val="24"/>
        </w:rPr>
        <w:t>《易方达中小盘混合型证券投资基金托管协议》；</w:t>
      </w:r>
    </w:p>
    <w:p w:rsidR="00AC008A" w:rsidRDefault="00E13DDA">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9602DA">
      <w:rPr>
        <w:rStyle w:val="a7"/>
        <w:noProof/>
      </w:rPr>
      <w:t>1</w:t>
    </w:r>
    <w:r>
      <w:rPr>
        <w:rStyle w:val="a7"/>
      </w:rPr>
      <w:fldChar w:fldCharType="end"/>
    </w:r>
    <w:r>
      <w:rPr>
        <w:rStyle w:val="a7"/>
        <w:rFonts w:hint="eastAsia"/>
      </w:rPr>
      <w:t>页共</w:t>
    </w:r>
    <w:fldSimple w:instr=" NUMPAGES  \* Arabic  \* MERGEFORMAT ">
      <w:r w:rsidR="009602DA" w:rsidRPr="009602DA">
        <w:rPr>
          <w:rStyle w:val="a7"/>
          <w:noProof/>
        </w:rPr>
        <w:t>11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9602DA">
      <w:rPr>
        <w:rStyle w:val="a7"/>
        <w:noProof/>
      </w:rPr>
      <w:t>2</w:t>
    </w:r>
    <w:r>
      <w:rPr>
        <w:rStyle w:val="a7"/>
      </w:rPr>
      <w:fldChar w:fldCharType="end"/>
    </w:r>
    <w:r>
      <w:rPr>
        <w:rStyle w:val="a7"/>
        <w:rFonts w:hint="eastAsia"/>
      </w:rPr>
      <w:t>页共</w:t>
    </w:r>
    <w:r w:rsidR="009602DA">
      <w:fldChar w:fldCharType="begin"/>
    </w:r>
    <w:r w:rsidR="009602DA">
      <w:instrText xml:space="preserve"> NUMPAGES  \* Arabic  \* MERGEFORMAT </w:instrText>
    </w:r>
    <w:r w:rsidR="009602DA">
      <w:fldChar w:fldCharType="separate"/>
    </w:r>
    <w:r w:rsidR="009602DA" w:rsidRPr="009602DA">
      <w:rPr>
        <w:rStyle w:val="a7"/>
        <w:noProof/>
      </w:rPr>
      <w:t>11</w:t>
    </w:r>
    <w:r w:rsidR="009602DA">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易方达中小盘混合型证券投资基金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02DA"/>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008A"/>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13DDA"/>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2069-ECFD-42E7-86B8-4CC97AF2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钟颖</cp:lastModifiedBy>
  <cp:revision>3</cp:revision>
  <dcterms:created xsi:type="dcterms:W3CDTF">2020-01-13T02:42:00Z</dcterms:created>
  <dcterms:modified xsi:type="dcterms:W3CDTF">2020-01-14T08:00:00Z</dcterms:modified>
</cp:coreProperties>
</file>