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易方达科瑞灵活配置混合型证券投资基金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交通银行股份有限公司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B52DD1" w:rsidRDefault="00DF27B7">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52DD1" w:rsidRDefault="00DF27B7">
      <w:pPr>
        <w:spacing w:line="360" w:lineRule="auto"/>
        <w:ind w:firstLineChars="200" w:firstLine="480"/>
        <w:rPr>
          <w:color w:val="000000"/>
          <w:sz w:val="24"/>
          <w:szCs w:val="24"/>
        </w:rPr>
      </w:pPr>
      <w:r>
        <w:rPr>
          <w:color w:val="000000"/>
          <w:sz w:val="24"/>
          <w:szCs w:val="24"/>
        </w:rPr>
        <w:t>基金托管人交通银行股份有限公司根据本基金合同规定，于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52DD1" w:rsidRDefault="00DF27B7">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52DD1" w:rsidRDefault="00DF27B7">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52DD1" w:rsidRDefault="00DF27B7">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易方达科瑞混合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003293</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003293</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2017</w:t>
            </w:r>
            <w:r w:rsidRPr="00232B03">
              <w:rPr>
                <w:color w:val="000000"/>
                <w:kern w:val="0"/>
                <w:sz w:val="24"/>
                <w:szCs w:val="24"/>
              </w:rPr>
              <w:t>年</w:t>
            </w:r>
            <w:r w:rsidRPr="00232B03">
              <w:rPr>
                <w:color w:val="000000"/>
                <w:kern w:val="0"/>
                <w:sz w:val="24"/>
                <w:szCs w:val="24"/>
              </w:rPr>
              <w:t>1</w:t>
            </w:r>
            <w:r w:rsidRPr="00232B03">
              <w:rPr>
                <w:color w:val="000000"/>
                <w:kern w:val="0"/>
                <w:sz w:val="24"/>
                <w:szCs w:val="24"/>
              </w:rPr>
              <w:t>月</w:t>
            </w:r>
            <w:r w:rsidRPr="00232B03">
              <w:rPr>
                <w:color w:val="000000"/>
                <w:kern w:val="0"/>
                <w:sz w:val="24"/>
                <w:szCs w:val="24"/>
              </w:rPr>
              <w:t>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596,937,359.21</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确定组合中股票、债券等资产类别的配置比例。股票投资方面，本基金将根据对各行业的综合分析，确定并调整行业配置比例。在个股选择方面，本基金将精选具有持续竞争优势且估值具有吸引力的</w:t>
            </w:r>
            <w:r w:rsidRPr="00232B03">
              <w:rPr>
                <w:color w:val="000000"/>
                <w:kern w:val="0"/>
                <w:sz w:val="24"/>
                <w:szCs w:val="24"/>
              </w:rPr>
              <w:lastRenderedPageBreak/>
              <w:t>公司进行投资。在债券投资方面，本基金将主要通过类属配置与券种选择两个层次进行投资管理。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×80%+</w:t>
            </w:r>
            <w:r w:rsidRPr="00232B03">
              <w:rPr>
                <w:color w:val="000000"/>
                <w:kern w:val="0"/>
                <w:sz w:val="24"/>
                <w:szCs w:val="24"/>
              </w:rPr>
              <w:t>中债新综合财富指数收益率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本基金为混合基金，理论上其预期风险与预期收益水平低于股票基金，高于债券基金和货币市场基金。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交通银行股份有限公司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52,539,312.14</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42,032,560.10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0.0598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723,820,852.97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1.2126</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B52DD1" w:rsidRDefault="00DF27B7">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B52DD1">
        <w:tc>
          <w:tcPr>
            <w:tcW w:w="0" w:type="auto"/>
            <w:vAlign w:val="center"/>
          </w:tcPr>
          <w:p w:rsidR="00B52DD1" w:rsidRDefault="00DF27B7">
            <w:pPr>
              <w:jc w:val="left"/>
            </w:pPr>
            <w:r>
              <w:rPr>
                <w:color w:val="000000"/>
                <w:kern w:val="0"/>
                <w:sz w:val="24"/>
                <w:szCs w:val="24"/>
              </w:rPr>
              <w:t>过去三个月</w:t>
            </w:r>
          </w:p>
        </w:tc>
        <w:tc>
          <w:tcPr>
            <w:tcW w:w="0" w:type="auto"/>
            <w:vAlign w:val="center"/>
          </w:tcPr>
          <w:p w:rsidR="00B52DD1" w:rsidRDefault="00DF27B7">
            <w:pPr>
              <w:jc w:val="center"/>
            </w:pPr>
            <w:r>
              <w:rPr>
                <w:color w:val="000000"/>
                <w:kern w:val="0"/>
                <w:sz w:val="24"/>
                <w:szCs w:val="24"/>
              </w:rPr>
              <w:t>5.65%</w:t>
            </w:r>
          </w:p>
        </w:tc>
        <w:tc>
          <w:tcPr>
            <w:tcW w:w="0" w:type="auto"/>
            <w:vAlign w:val="center"/>
          </w:tcPr>
          <w:p w:rsidR="00B52DD1" w:rsidRDefault="00DF27B7">
            <w:pPr>
              <w:jc w:val="center"/>
            </w:pPr>
            <w:r>
              <w:rPr>
                <w:color w:val="000000"/>
                <w:kern w:val="0"/>
                <w:sz w:val="24"/>
                <w:szCs w:val="24"/>
              </w:rPr>
              <w:t>0.71%</w:t>
            </w:r>
          </w:p>
        </w:tc>
        <w:tc>
          <w:tcPr>
            <w:tcW w:w="0" w:type="auto"/>
            <w:vAlign w:val="center"/>
          </w:tcPr>
          <w:p w:rsidR="00B52DD1" w:rsidRDefault="00DF27B7">
            <w:pPr>
              <w:jc w:val="center"/>
            </w:pPr>
            <w:r>
              <w:rPr>
                <w:color w:val="000000"/>
                <w:kern w:val="0"/>
                <w:sz w:val="24"/>
                <w:szCs w:val="24"/>
              </w:rPr>
              <w:t>6.18%</w:t>
            </w:r>
          </w:p>
        </w:tc>
        <w:tc>
          <w:tcPr>
            <w:tcW w:w="0" w:type="auto"/>
            <w:vAlign w:val="center"/>
          </w:tcPr>
          <w:p w:rsidR="00B52DD1" w:rsidRDefault="00DF27B7">
            <w:pPr>
              <w:jc w:val="center"/>
            </w:pPr>
            <w:r>
              <w:rPr>
                <w:color w:val="000000"/>
                <w:kern w:val="0"/>
                <w:sz w:val="24"/>
                <w:szCs w:val="24"/>
              </w:rPr>
              <w:t>0.59%</w:t>
            </w:r>
          </w:p>
        </w:tc>
        <w:tc>
          <w:tcPr>
            <w:tcW w:w="0" w:type="auto"/>
            <w:vAlign w:val="center"/>
          </w:tcPr>
          <w:p w:rsidR="00B52DD1" w:rsidRDefault="00DF27B7">
            <w:pPr>
              <w:jc w:val="center"/>
            </w:pPr>
            <w:r>
              <w:rPr>
                <w:color w:val="000000"/>
                <w:kern w:val="0"/>
                <w:sz w:val="24"/>
                <w:szCs w:val="24"/>
              </w:rPr>
              <w:t>-0.53%</w:t>
            </w:r>
          </w:p>
        </w:tc>
        <w:tc>
          <w:tcPr>
            <w:tcW w:w="0" w:type="auto"/>
            <w:vAlign w:val="center"/>
          </w:tcPr>
          <w:p w:rsidR="00B52DD1" w:rsidRDefault="00DF27B7">
            <w:pPr>
              <w:jc w:val="center"/>
            </w:pPr>
            <w:r>
              <w:rPr>
                <w:color w:val="000000"/>
                <w:kern w:val="0"/>
                <w:sz w:val="24"/>
                <w:szCs w:val="24"/>
              </w:rPr>
              <w:t>0.12%</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易方达科瑞灵活配置混合型证券投资基金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2017</w:t>
      </w:r>
      <w:r w:rsidRPr="0074694E">
        <w:rPr>
          <w:rFonts w:ascii="Times New Roman" w:hAnsi="Times New Roman"/>
          <w:sz w:val="24"/>
          <w:szCs w:val="24"/>
        </w:rPr>
        <w:t>年</w:t>
      </w:r>
      <w:r w:rsidRPr="0074694E">
        <w:rPr>
          <w:rFonts w:ascii="Times New Roman" w:hAnsi="Times New Roman"/>
          <w:sz w:val="24"/>
          <w:szCs w:val="24"/>
        </w:rPr>
        <w:t>1</w:t>
      </w:r>
      <w:r w:rsidRPr="0074694E">
        <w:rPr>
          <w:rFonts w:ascii="Times New Roman" w:hAnsi="Times New Roman"/>
          <w:sz w:val="24"/>
          <w:szCs w:val="24"/>
        </w:rPr>
        <w:t>月</w:t>
      </w:r>
      <w:r w:rsidRPr="0074694E">
        <w:rPr>
          <w:rFonts w:ascii="Times New Roman" w:hAnsi="Times New Roman"/>
          <w:sz w:val="24"/>
          <w:szCs w:val="24"/>
        </w:rPr>
        <w:t>3</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DF27B7"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B52DD1" w:rsidRDefault="00DF27B7">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本基金由原科瑞证券投资基金于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3</w:t>
      </w:r>
      <w:r>
        <w:rPr>
          <w:color w:val="000000"/>
          <w:sz w:val="24"/>
          <w:szCs w:val="24"/>
        </w:rPr>
        <w:t>日转型而来。</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2.</w:t>
      </w:r>
      <w:r w:rsidRPr="006C56AA">
        <w:rPr>
          <w:color w:val="000000"/>
          <w:sz w:val="24"/>
          <w:szCs w:val="24"/>
        </w:rPr>
        <w:t>自基金转型至报告期末，基金份额净值增长率为</w:t>
      </w:r>
      <w:r w:rsidRPr="006C56AA">
        <w:rPr>
          <w:color w:val="000000"/>
          <w:sz w:val="24"/>
          <w:szCs w:val="24"/>
        </w:rPr>
        <w:t>41.99%</w:t>
      </w:r>
      <w:r w:rsidRPr="006C56AA">
        <w:rPr>
          <w:color w:val="000000"/>
          <w:sz w:val="24"/>
          <w:szCs w:val="24"/>
        </w:rPr>
        <w:t>，同期业绩比较基准收益率为</w:t>
      </w:r>
      <w:r w:rsidRPr="006C56AA">
        <w:rPr>
          <w:color w:val="000000"/>
          <w:sz w:val="24"/>
          <w:szCs w:val="24"/>
        </w:rPr>
        <w:t>21.70%</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B52DD1">
        <w:tc>
          <w:tcPr>
            <w:tcW w:w="0" w:type="auto"/>
            <w:vAlign w:val="center"/>
          </w:tcPr>
          <w:p w:rsidR="00B52DD1" w:rsidRDefault="00DF27B7">
            <w:pPr>
              <w:jc w:val="center"/>
            </w:pPr>
            <w:r>
              <w:rPr>
                <w:color w:val="000000"/>
                <w:sz w:val="24"/>
              </w:rPr>
              <w:t>杨嘉文</w:t>
            </w:r>
          </w:p>
        </w:tc>
        <w:tc>
          <w:tcPr>
            <w:tcW w:w="0" w:type="auto"/>
            <w:vAlign w:val="center"/>
          </w:tcPr>
          <w:p w:rsidR="00B52DD1" w:rsidRDefault="00DF27B7">
            <w:pPr>
              <w:jc w:val="center"/>
            </w:pPr>
            <w:r>
              <w:rPr>
                <w:color w:val="000000"/>
                <w:sz w:val="24"/>
              </w:rPr>
              <w:t>本基金的基金经理、易方达科汇灵活配置混合型证券投资基金的基金经理</w:t>
            </w:r>
          </w:p>
        </w:tc>
        <w:tc>
          <w:tcPr>
            <w:tcW w:w="0" w:type="auto"/>
            <w:vAlign w:val="center"/>
          </w:tcPr>
          <w:p w:rsidR="00B52DD1" w:rsidRDefault="00DF27B7">
            <w:pPr>
              <w:jc w:val="center"/>
            </w:pPr>
            <w:r>
              <w:rPr>
                <w:color w:val="000000"/>
                <w:sz w:val="24"/>
              </w:rPr>
              <w:t>2017-12-27</w:t>
            </w:r>
          </w:p>
        </w:tc>
        <w:tc>
          <w:tcPr>
            <w:tcW w:w="0" w:type="auto"/>
            <w:vAlign w:val="center"/>
          </w:tcPr>
          <w:p w:rsidR="00B52DD1" w:rsidRDefault="00DF27B7">
            <w:pPr>
              <w:jc w:val="center"/>
            </w:pPr>
            <w:r>
              <w:rPr>
                <w:color w:val="000000"/>
                <w:sz w:val="24"/>
              </w:rPr>
              <w:t>-</w:t>
            </w:r>
          </w:p>
        </w:tc>
        <w:tc>
          <w:tcPr>
            <w:tcW w:w="0" w:type="auto"/>
            <w:vAlign w:val="center"/>
          </w:tcPr>
          <w:p w:rsidR="00B52DD1" w:rsidRDefault="00DF27B7">
            <w:pPr>
              <w:jc w:val="center"/>
            </w:pPr>
            <w:r>
              <w:rPr>
                <w:color w:val="000000"/>
                <w:sz w:val="24"/>
              </w:rPr>
              <w:t>8</w:t>
            </w:r>
            <w:r>
              <w:rPr>
                <w:color w:val="000000"/>
                <w:sz w:val="24"/>
              </w:rPr>
              <w:t>年</w:t>
            </w:r>
          </w:p>
        </w:tc>
        <w:tc>
          <w:tcPr>
            <w:tcW w:w="0" w:type="auto"/>
            <w:vAlign w:val="center"/>
          </w:tcPr>
          <w:p w:rsidR="00B52DD1" w:rsidRDefault="00DF27B7">
            <w:r>
              <w:rPr>
                <w:color w:val="000000"/>
                <w:sz w:val="24"/>
              </w:rPr>
              <w:t>硕士研究生，具有基金从业资格。曾任大成基金管理有限公司研究部研究员，易方达基金管理有限公司行业研究员、易方达科瑞灵活配置混合型证券投资基金基金经理助理。</w:t>
            </w:r>
          </w:p>
        </w:tc>
      </w:tr>
    </w:tbl>
    <w:p w:rsidR="00B52DD1" w:rsidRDefault="00DF27B7">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B52DD1" w:rsidRDefault="00DF27B7">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B52DD1" w:rsidRDefault="00DF27B7">
      <w:pPr>
        <w:spacing w:line="360" w:lineRule="auto"/>
        <w:ind w:firstLineChars="200" w:firstLine="480"/>
        <w:rPr>
          <w:color w:val="000000"/>
          <w:sz w:val="24"/>
          <w:szCs w:val="24"/>
        </w:rPr>
      </w:pPr>
      <w:r>
        <w:rPr>
          <w:color w:val="000000"/>
          <w:sz w:val="24"/>
          <w:szCs w:val="24"/>
        </w:rPr>
        <w:t>2019</w:t>
      </w:r>
      <w:r>
        <w:rPr>
          <w:color w:val="000000"/>
          <w:sz w:val="24"/>
          <w:szCs w:val="24"/>
        </w:rPr>
        <w:t>年第四季度</w:t>
      </w:r>
      <w:r>
        <w:rPr>
          <w:color w:val="000000"/>
          <w:sz w:val="24"/>
          <w:szCs w:val="24"/>
        </w:rPr>
        <w:t>A</w:t>
      </w:r>
      <w:r>
        <w:rPr>
          <w:color w:val="000000"/>
          <w:sz w:val="24"/>
          <w:szCs w:val="24"/>
        </w:rPr>
        <w:t>股主要的市场指数以上涨为主，其中沪深</w:t>
      </w:r>
      <w:r>
        <w:rPr>
          <w:color w:val="000000"/>
          <w:sz w:val="24"/>
          <w:szCs w:val="24"/>
        </w:rPr>
        <w:t>300</w:t>
      </w:r>
      <w:r>
        <w:rPr>
          <w:color w:val="000000"/>
          <w:sz w:val="24"/>
          <w:szCs w:val="24"/>
        </w:rPr>
        <w:t>指数上涨</w:t>
      </w:r>
      <w:r>
        <w:rPr>
          <w:color w:val="000000"/>
          <w:sz w:val="24"/>
          <w:szCs w:val="24"/>
        </w:rPr>
        <w:t>7.39%</w:t>
      </w:r>
      <w:r>
        <w:rPr>
          <w:color w:val="000000"/>
          <w:sz w:val="24"/>
          <w:szCs w:val="24"/>
        </w:rPr>
        <w:t>，上证</w:t>
      </w:r>
      <w:r>
        <w:rPr>
          <w:color w:val="000000"/>
          <w:sz w:val="24"/>
          <w:szCs w:val="24"/>
        </w:rPr>
        <w:t>50</w:t>
      </w:r>
      <w:r>
        <w:rPr>
          <w:color w:val="000000"/>
          <w:sz w:val="24"/>
          <w:szCs w:val="24"/>
        </w:rPr>
        <w:t>指数上涨</w:t>
      </w:r>
      <w:r>
        <w:rPr>
          <w:color w:val="000000"/>
          <w:sz w:val="24"/>
          <w:szCs w:val="24"/>
        </w:rPr>
        <w:t>5.71%</w:t>
      </w:r>
      <w:r>
        <w:rPr>
          <w:color w:val="000000"/>
          <w:sz w:val="24"/>
          <w:szCs w:val="24"/>
        </w:rPr>
        <w:t>，上证指数上涨</w:t>
      </w:r>
      <w:r>
        <w:rPr>
          <w:color w:val="000000"/>
          <w:sz w:val="24"/>
          <w:szCs w:val="24"/>
        </w:rPr>
        <w:t>4.99%</w:t>
      </w:r>
      <w:r>
        <w:rPr>
          <w:color w:val="000000"/>
          <w:sz w:val="24"/>
          <w:szCs w:val="24"/>
        </w:rPr>
        <w:t>，中小板综指上涨</w:t>
      </w:r>
      <w:r>
        <w:rPr>
          <w:color w:val="000000"/>
          <w:sz w:val="24"/>
          <w:szCs w:val="24"/>
        </w:rPr>
        <w:t>8.27%</w:t>
      </w:r>
      <w:r>
        <w:rPr>
          <w:color w:val="000000"/>
          <w:sz w:val="24"/>
          <w:szCs w:val="24"/>
        </w:rPr>
        <w:t>，创业板综指上涨</w:t>
      </w:r>
      <w:r>
        <w:rPr>
          <w:color w:val="000000"/>
          <w:sz w:val="24"/>
          <w:szCs w:val="24"/>
        </w:rPr>
        <w:t>9.03%</w:t>
      </w:r>
      <w:r>
        <w:rPr>
          <w:color w:val="000000"/>
          <w:sz w:val="24"/>
          <w:szCs w:val="24"/>
        </w:rPr>
        <w:t>。</w:t>
      </w:r>
    </w:p>
    <w:p w:rsidR="00B52DD1" w:rsidRDefault="00DF27B7">
      <w:pPr>
        <w:spacing w:line="360" w:lineRule="auto"/>
        <w:ind w:firstLineChars="200" w:firstLine="480"/>
        <w:rPr>
          <w:color w:val="000000"/>
          <w:sz w:val="24"/>
          <w:szCs w:val="24"/>
        </w:rPr>
      </w:pPr>
      <w:r>
        <w:rPr>
          <w:color w:val="000000"/>
          <w:sz w:val="24"/>
          <w:szCs w:val="24"/>
        </w:rPr>
        <w:t>分析原因：</w:t>
      </w:r>
    </w:p>
    <w:p w:rsidR="00B52DD1" w:rsidRDefault="00DF27B7">
      <w:pPr>
        <w:spacing w:line="360" w:lineRule="auto"/>
        <w:ind w:firstLineChars="200" w:firstLine="480"/>
        <w:rPr>
          <w:color w:val="000000"/>
          <w:sz w:val="24"/>
          <w:szCs w:val="24"/>
        </w:rPr>
      </w:pPr>
      <w:r>
        <w:rPr>
          <w:color w:val="000000"/>
          <w:sz w:val="24"/>
          <w:szCs w:val="24"/>
        </w:rPr>
        <w:t>1.</w:t>
      </w:r>
      <w:r>
        <w:rPr>
          <w:color w:val="000000"/>
          <w:sz w:val="24"/>
          <w:szCs w:val="24"/>
        </w:rPr>
        <w:t>国际宏观经济层面，欧美日等多国</w:t>
      </w:r>
      <w:r>
        <w:rPr>
          <w:color w:val="000000"/>
          <w:sz w:val="24"/>
          <w:szCs w:val="24"/>
        </w:rPr>
        <w:t>PMI</w:t>
      </w:r>
      <w:r>
        <w:rPr>
          <w:color w:val="000000"/>
          <w:sz w:val="24"/>
          <w:szCs w:val="24"/>
        </w:rPr>
        <w:t>数据阶段性企稳，全球经济增长企稳预期发酵；美联储</w:t>
      </w:r>
      <w:r>
        <w:rPr>
          <w:color w:val="000000"/>
          <w:sz w:val="24"/>
          <w:szCs w:val="24"/>
        </w:rPr>
        <w:t>12</w:t>
      </w:r>
      <w:r>
        <w:rPr>
          <w:color w:val="000000"/>
          <w:sz w:val="24"/>
          <w:szCs w:val="24"/>
        </w:rPr>
        <w:t>月利率维持不变，海外货币政策环境维持稳定；中美谈判取得进展，双方进入第一阶段协议签署过程，英国大选落地，英国脱欧不确定性边际环节，全球风险偏好缓和。</w:t>
      </w:r>
    </w:p>
    <w:p w:rsidR="00B52DD1" w:rsidRDefault="00DF27B7">
      <w:pPr>
        <w:spacing w:line="360" w:lineRule="auto"/>
        <w:ind w:firstLineChars="200" w:firstLine="480"/>
        <w:rPr>
          <w:color w:val="000000"/>
          <w:sz w:val="24"/>
          <w:szCs w:val="24"/>
        </w:rPr>
      </w:pPr>
      <w:r>
        <w:rPr>
          <w:color w:val="000000"/>
          <w:sz w:val="24"/>
          <w:szCs w:val="24"/>
        </w:rPr>
        <w:t>2.</w:t>
      </w:r>
      <w:r>
        <w:rPr>
          <w:color w:val="000000"/>
          <w:sz w:val="24"/>
          <w:szCs w:val="24"/>
        </w:rPr>
        <w:t>国内宏观流动性层面，</w:t>
      </w:r>
      <w:r>
        <w:rPr>
          <w:color w:val="000000"/>
          <w:sz w:val="24"/>
          <w:szCs w:val="24"/>
        </w:rPr>
        <w:t>LPR</w:t>
      </w:r>
      <w:r>
        <w:rPr>
          <w:color w:val="000000"/>
          <w:sz w:val="24"/>
          <w:szCs w:val="24"/>
        </w:rPr>
        <w:t>、</w:t>
      </w:r>
      <w:r>
        <w:rPr>
          <w:color w:val="000000"/>
          <w:sz w:val="24"/>
          <w:szCs w:val="24"/>
        </w:rPr>
        <w:t>7</w:t>
      </w:r>
      <w:r>
        <w:rPr>
          <w:color w:val="000000"/>
          <w:sz w:val="24"/>
          <w:szCs w:val="24"/>
        </w:rPr>
        <w:t>天逆回购和</w:t>
      </w:r>
      <w:r>
        <w:rPr>
          <w:color w:val="000000"/>
          <w:sz w:val="24"/>
          <w:szCs w:val="24"/>
        </w:rPr>
        <w:t>14</w:t>
      </w:r>
      <w:r>
        <w:rPr>
          <w:color w:val="000000"/>
          <w:sz w:val="24"/>
          <w:szCs w:val="24"/>
        </w:rPr>
        <w:t>天逆回购均下调</w:t>
      </w:r>
      <w:r>
        <w:rPr>
          <w:color w:val="000000"/>
          <w:sz w:val="24"/>
          <w:szCs w:val="24"/>
        </w:rPr>
        <w:t>5bp</w:t>
      </w:r>
      <w:r>
        <w:rPr>
          <w:color w:val="000000"/>
          <w:sz w:val="24"/>
          <w:szCs w:val="24"/>
        </w:rPr>
        <w:t>，中央经济工作会议对于防范化解金融风险的表述后置，市场对于去杠杆预期边际缓和，叠加春节前货币政策大概率宽松，</w:t>
      </w:r>
      <w:r>
        <w:rPr>
          <w:color w:val="000000"/>
          <w:sz w:val="24"/>
          <w:szCs w:val="24"/>
        </w:rPr>
        <w:t>11</w:t>
      </w:r>
      <w:r>
        <w:rPr>
          <w:color w:val="000000"/>
          <w:sz w:val="24"/>
          <w:szCs w:val="24"/>
        </w:rPr>
        <w:t>月金融数据超预期，新增信贷和新增社融均出现显著改善，整体宏观流动性合理充裕。</w:t>
      </w:r>
    </w:p>
    <w:p w:rsidR="00B52DD1" w:rsidRDefault="00DF27B7">
      <w:pPr>
        <w:spacing w:line="360" w:lineRule="auto"/>
        <w:ind w:firstLineChars="200" w:firstLine="480"/>
        <w:rPr>
          <w:color w:val="000000"/>
          <w:sz w:val="24"/>
          <w:szCs w:val="24"/>
        </w:rPr>
      </w:pPr>
      <w:r>
        <w:rPr>
          <w:color w:val="000000"/>
          <w:sz w:val="24"/>
          <w:szCs w:val="24"/>
        </w:rPr>
        <w:t>3.</w:t>
      </w:r>
      <w:r>
        <w:rPr>
          <w:color w:val="000000"/>
          <w:sz w:val="24"/>
          <w:szCs w:val="24"/>
        </w:rPr>
        <w:t>实体经济</w:t>
      </w:r>
      <w:r>
        <w:rPr>
          <w:color w:val="000000"/>
          <w:sz w:val="24"/>
          <w:szCs w:val="24"/>
        </w:rPr>
        <w:t>层面，国内经济增长预期边际改善，房地产和基建投资仍是重要支撑，各地区房地产政策出现边际放松迹象，专项债加速发行驱动基建投资缓慢上行，出口增速回落，主因对美出口承压，消费增长节奏受电商促销影响，整体缓慢上行，汽车拖累影响降低。</w:t>
      </w:r>
      <w:r>
        <w:rPr>
          <w:color w:val="000000"/>
          <w:sz w:val="24"/>
          <w:szCs w:val="24"/>
        </w:rPr>
        <w:t>CPI</w:t>
      </w:r>
      <w:r>
        <w:rPr>
          <w:color w:val="000000"/>
          <w:sz w:val="24"/>
          <w:szCs w:val="24"/>
        </w:rPr>
        <w:t>达到阶段性高点，但猪价加速上行最快的阶段已经过去，高通胀对货币政策空间约束有限；</w:t>
      </w:r>
      <w:r>
        <w:rPr>
          <w:color w:val="000000"/>
          <w:sz w:val="24"/>
          <w:szCs w:val="24"/>
        </w:rPr>
        <w:t>PPI</w:t>
      </w:r>
      <w:r>
        <w:rPr>
          <w:color w:val="000000"/>
          <w:sz w:val="24"/>
          <w:szCs w:val="24"/>
        </w:rPr>
        <w:t>阶段性企稳，受益于暖冬，生产需求超季节性，大宗商品价格缓慢上行，海外环境改善前提下，未来库存周期弱复苏可期。</w:t>
      </w:r>
    </w:p>
    <w:p w:rsidR="00B52DD1" w:rsidRDefault="00DF27B7">
      <w:pPr>
        <w:spacing w:line="360" w:lineRule="auto"/>
        <w:ind w:firstLineChars="200" w:firstLine="480"/>
        <w:rPr>
          <w:color w:val="000000"/>
          <w:sz w:val="24"/>
          <w:szCs w:val="24"/>
        </w:rPr>
      </w:pPr>
      <w:r>
        <w:rPr>
          <w:color w:val="000000"/>
          <w:sz w:val="24"/>
          <w:szCs w:val="24"/>
        </w:rPr>
        <w:t xml:space="preserve">4. </w:t>
      </w:r>
      <w:r>
        <w:rPr>
          <w:color w:val="000000"/>
          <w:sz w:val="24"/>
          <w:szCs w:val="24"/>
        </w:rPr>
        <w:t>未来一段时间，全球经济增长状态不会发生大的改变，但随着海外环境逐步缓和，全球经济</w:t>
      </w:r>
      <w:r>
        <w:rPr>
          <w:color w:val="000000"/>
          <w:sz w:val="24"/>
          <w:szCs w:val="24"/>
        </w:rPr>
        <w:t>有边际企稳态势；近期海外市场负利率债券规模已经有所回落，未来货币政策正常化可期；国内</w:t>
      </w:r>
      <w:r>
        <w:rPr>
          <w:color w:val="000000"/>
          <w:sz w:val="24"/>
          <w:szCs w:val="24"/>
        </w:rPr>
        <w:t>PPI</w:t>
      </w:r>
      <w:r>
        <w:rPr>
          <w:color w:val="000000"/>
          <w:sz w:val="24"/>
          <w:szCs w:val="24"/>
        </w:rPr>
        <w:t>触底，房地产政策边际放松，专项债继续支持基建投资，猪价上行不会对货币政策构成约束，货币政策大概率维持稳健，整体宏观经济增长预期边际改善。</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本基金四季度股票仓位稳定在</w:t>
      </w:r>
      <w:r w:rsidRPr="006C56AA">
        <w:rPr>
          <w:color w:val="000000"/>
          <w:sz w:val="24"/>
          <w:szCs w:val="24"/>
        </w:rPr>
        <w:t>85%</w:t>
      </w:r>
      <w:r w:rsidRPr="006C56AA">
        <w:rPr>
          <w:color w:val="000000"/>
          <w:sz w:val="24"/>
          <w:szCs w:val="24"/>
        </w:rPr>
        <w:t>左右，并根据上述宏观经济判断，在行业和个股上作出了一些调整。首先，加大了对周期板块的配置，比如建材、化工板块；其次，判断四季度通胀可能会进一步走高，维持白酒、超市、养殖的配置；最后，从估值性价比角度进行板块比较，增加了建筑板块配置。</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1.2126</w:t>
      </w:r>
      <w:r w:rsidRPr="006C56AA">
        <w:rPr>
          <w:color w:val="000000"/>
          <w:sz w:val="24"/>
          <w:szCs w:val="24"/>
        </w:rPr>
        <w:t>元，本报告期份额净值增长率为</w:t>
      </w:r>
      <w:r w:rsidRPr="006C56AA">
        <w:rPr>
          <w:color w:val="000000"/>
          <w:sz w:val="24"/>
          <w:szCs w:val="24"/>
        </w:rPr>
        <w:t>5.65%</w:t>
      </w:r>
      <w:r w:rsidRPr="006C56AA">
        <w:rPr>
          <w:color w:val="000000"/>
          <w:sz w:val="24"/>
          <w:szCs w:val="24"/>
        </w:rPr>
        <w:t>，同期业绩比较基准收益率为</w:t>
      </w:r>
      <w:r w:rsidRPr="006C56AA">
        <w:rPr>
          <w:color w:val="000000"/>
          <w:sz w:val="24"/>
          <w:szCs w:val="24"/>
        </w:rPr>
        <w:t>6.18%</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648,984,203.27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88.98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648,984,203.27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88.98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31,565,972.67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31,565,972.67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43,014,513.93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5.90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5,816,992.06</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0.80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729,381,681.93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29,322,036.20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4.05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416,410,016.28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57.53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17,884,744.00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25,013,502.68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3.46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7,571,555.00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91,973,007.04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12.71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14,963,199.28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45,839,564.75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6.33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648,984,203.27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89.66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B52DD1">
        <w:tc>
          <w:tcPr>
            <w:tcW w:w="0" w:type="auto"/>
            <w:vAlign w:val="center"/>
          </w:tcPr>
          <w:p w:rsidR="00B52DD1" w:rsidRDefault="00DF27B7">
            <w:pPr>
              <w:jc w:val="center"/>
            </w:pPr>
            <w:r>
              <w:rPr>
                <w:color w:val="000000"/>
                <w:kern w:val="0"/>
                <w:sz w:val="24"/>
                <w:szCs w:val="24"/>
              </w:rPr>
              <w:t>1</w:t>
            </w:r>
          </w:p>
        </w:tc>
        <w:tc>
          <w:tcPr>
            <w:tcW w:w="0" w:type="auto"/>
            <w:vAlign w:val="center"/>
          </w:tcPr>
          <w:p w:rsidR="00B52DD1" w:rsidRDefault="00DF27B7">
            <w:pPr>
              <w:jc w:val="center"/>
            </w:pPr>
            <w:r>
              <w:rPr>
                <w:color w:val="000000"/>
                <w:kern w:val="0"/>
                <w:sz w:val="24"/>
                <w:szCs w:val="24"/>
              </w:rPr>
              <w:t>000858</w:t>
            </w:r>
          </w:p>
        </w:tc>
        <w:tc>
          <w:tcPr>
            <w:tcW w:w="0" w:type="auto"/>
            <w:vAlign w:val="center"/>
          </w:tcPr>
          <w:p w:rsidR="00B52DD1" w:rsidRDefault="00DF27B7">
            <w:pPr>
              <w:jc w:val="center"/>
            </w:pPr>
            <w:r>
              <w:rPr>
                <w:color w:val="000000"/>
                <w:kern w:val="0"/>
                <w:sz w:val="24"/>
                <w:szCs w:val="24"/>
              </w:rPr>
              <w:t>五粮液</w:t>
            </w:r>
          </w:p>
        </w:tc>
        <w:tc>
          <w:tcPr>
            <w:tcW w:w="0" w:type="auto"/>
            <w:vAlign w:val="center"/>
          </w:tcPr>
          <w:p w:rsidR="00B52DD1" w:rsidRDefault="00DF27B7">
            <w:pPr>
              <w:jc w:val="right"/>
            </w:pPr>
            <w:r>
              <w:rPr>
                <w:color w:val="000000"/>
                <w:kern w:val="0"/>
                <w:sz w:val="24"/>
                <w:szCs w:val="24"/>
              </w:rPr>
              <w:t>391,108</w:t>
            </w:r>
          </w:p>
        </w:tc>
        <w:tc>
          <w:tcPr>
            <w:tcW w:w="0" w:type="auto"/>
            <w:vAlign w:val="center"/>
          </w:tcPr>
          <w:p w:rsidR="00B52DD1" w:rsidRDefault="00DF27B7">
            <w:pPr>
              <w:jc w:val="right"/>
            </w:pPr>
            <w:r>
              <w:rPr>
                <w:color w:val="000000"/>
                <w:kern w:val="0"/>
                <w:sz w:val="24"/>
                <w:szCs w:val="24"/>
              </w:rPr>
              <w:t>52,021,275.08</w:t>
            </w:r>
          </w:p>
        </w:tc>
        <w:tc>
          <w:tcPr>
            <w:tcW w:w="0" w:type="auto"/>
            <w:vAlign w:val="center"/>
          </w:tcPr>
          <w:p w:rsidR="00B52DD1" w:rsidRDefault="00DF27B7">
            <w:pPr>
              <w:jc w:val="right"/>
            </w:pPr>
            <w:r>
              <w:rPr>
                <w:color w:val="000000"/>
                <w:kern w:val="0"/>
                <w:sz w:val="24"/>
                <w:szCs w:val="24"/>
              </w:rPr>
              <w:t>7.19</w:t>
            </w:r>
          </w:p>
        </w:tc>
      </w:tr>
      <w:tr w:rsidR="00B52DD1">
        <w:tc>
          <w:tcPr>
            <w:tcW w:w="0" w:type="auto"/>
            <w:vAlign w:val="center"/>
          </w:tcPr>
          <w:p w:rsidR="00B52DD1" w:rsidRDefault="00DF27B7">
            <w:pPr>
              <w:jc w:val="center"/>
            </w:pPr>
            <w:r>
              <w:rPr>
                <w:color w:val="000000"/>
                <w:kern w:val="0"/>
                <w:sz w:val="24"/>
                <w:szCs w:val="24"/>
              </w:rPr>
              <w:t>2</w:t>
            </w:r>
          </w:p>
        </w:tc>
        <w:tc>
          <w:tcPr>
            <w:tcW w:w="0" w:type="auto"/>
            <w:vAlign w:val="center"/>
          </w:tcPr>
          <w:p w:rsidR="00B52DD1" w:rsidRDefault="00DF27B7">
            <w:pPr>
              <w:jc w:val="center"/>
            </w:pPr>
            <w:r>
              <w:rPr>
                <w:color w:val="000000"/>
                <w:kern w:val="0"/>
                <w:sz w:val="24"/>
                <w:szCs w:val="24"/>
              </w:rPr>
              <w:t>600519</w:t>
            </w:r>
          </w:p>
        </w:tc>
        <w:tc>
          <w:tcPr>
            <w:tcW w:w="0" w:type="auto"/>
            <w:vAlign w:val="center"/>
          </w:tcPr>
          <w:p w:rsidR="00B52DD1" w:rsidRDefault="00DF27B7">
            <w:pPr>
              <w:jc w:val="center"/>
            </w:pPr>
            <w:r>
              <w:rPr>
                <w:color w:val="000000"/>
                <w:kern w:val="0"/>
                <w:sz w:val="24"/>
                <w:szCs w:val="24"/>
              </w:rPr>
              <w:t>贵州茅台</w:t>
            </w:r>
          </w:p>
        </w:tc>
        <w:tc>
          <w:tcPr>
            <w:tcW w:w="0" w:type="auto"/>
            <w:vAlign w:val="center"/>
          </w:tcPr>
          <w:p w:rsidR="00B52DD1" w:rsidRDefault="00DF27B7">
            <w:pPr>
              <w:jc w:val="right"/>
            </w:pPr>
            <w:r>
              <w:rPr>
                <w:color w:val="000000"/>
                <w:kern w:val="0"/>
                <w:sz w:val="24"/>
                <w:szCs w:val="24"/>
              </w:rPr>
              <w:t>41,115</w:t>
            </w:r>
          </w:p>
        </w:tc>
        <w:tc>
          <w:tcPr>
            <w:tcW w:w="0" w:type="auto"/>
            <w:vAlign w:val="center"/>
          </w:tcPr>
          <w:p w:rsidR="00B52DD1" w:rsidRDefault="00DF27B7">
            <w:pPr>
              <w:jc w:val="right"/>
            </w:pPr>
            <w:r>
              <w:rPr>
                <w:color w:val="000000"/>
                <w:kern w:val="0"/>
                <w:sz w:val="24"/>
                <w:szCs w:val="24"/>
              </w:rPr>
              <w:t>48,639,045.00</w:t>
            </w:r>
          </w:p>
        </w:tc>
        <w:tc>
          <w:tcPr>
            <w:tcW w:w="0" w:type="auto"/>
            <w:vAlign w:val="center"/>
          </w:tcPr>
          <w:p w:rsidR="00B52DD1" w:rsidRDefault="00DF27B7">
            <w:pPr>
              <w:jc w:val="right"/>
            </w:pPr>
            <w:r>
              <w:rPr>
                <w:color w:val="000000"/>
                <w:kern w:val="0"/>
                <w:sz w:val="24"/>
                <w:szCs w:val="24"/>
              </w:rPr>
              <w:t>6.72</w:t>
            </w:r>
          </w:p>
        </w:tc>
      </w:tr>
      <w:tr w:rsidR="00B52DD1">
        <w:tc>
          <w:tcPr>
            <w:tcW w:w="0" w:type="auto"/>
            <w:vAlign w:val="center"/>
          </w:tcPr>
          <w:p w:rsidR="00B52DD1" w:rsidRDefault="00DF27B7">
            <w:pPr>
              <w:jc w:val="center"/>
            </w:pPr>
            <w:r>
              <w:rPr>
                <w:color w:val="000000"/>
                <w:kern w:val="0"/>
                <w:sz w:val="24"/>
                <w:szCs w:val="24"/>
              </w:rPr>
              <w:t>3</w:t>
            </w:r>
          </w:p>
        </w:tc>
        <w:tc>
          <w:tcPr>
            <w:tcW w:w="0" w:type="auto"/>
            <w:vAlign w:val="center"/>
          </w:tcPr>
          <w:p w:rsidR="00B52DD1" w:rsidRDefault="00DF27B7">
            <w:pPr>
              <w:jc w:val="center"/>
            </w:pPr>
            <w:r>
              <w:rPr>
                <w:color w:val="000000"/>
                <w:kern w:val="0"/>
                <w:sz w:val="24"/>
                <w:szCs w:val="24"/>
              </w:rPr>
              <w:t>601318</w:t>
            </w:r>
          </w:p>
        </w:tc>
        <w:tc>
          <w:tcPr>
            <w:tcW w:w="0" w:type="auto"/>
            <w:vAlign w:val="center"/>
          </w:tcPr>
          <w:p w:rsidR="00B52DD1" w:rsidRDefault="00DF27B7">
            <w:pPr>
              <w:jc w:val="center"/>
            </w:pPr>
            <w:r>
              <w:rPr>
                <w:color w:val="000000"/>
                <w:kern w:val="0"/>
                <w:sz w:val="24"/>
                <w:szCs w:val="24"/>
              </w:rPr>
              <w:t>中国平安</w:t>
            </w:r>
          </w:p>
        </w:tc>
        <w:tc>
          <w:tcPr>
            <w:tcW w:w="0" w:type="auto"/>
            <w:vAlign w:val="center"/>
          </w:tcPr>
          <w:p w:rsidR="00B52DD1" w:rsidRDefault="00DF27B7">
            <w:pPr>
              <w:jc w:val="right"/>
            </w:pPr>
            <w:r>
              <w:rPr>
                <w:color w:val="000000"/>
                <w:kern w:val="0"/>
                <w:sz w:val="24"/>
                <w:szCs w:val="24"/>
              </w:rPr>
              <w:t>476,593</w:t>
            </w:r>
          </w:p>
        </w:tc>
        <w:tc>
          <w:tcPr>
            <w:tcW w:w="0" w:type="auto"/>
            <w:vAlign w:val="center"/>
          </w:tcPr>
          <w:p w:rsidR="00B52DD1" w:rsidRDefault="00DF27B7">
            <w:pPr>
              <w:jc w:val="right"/>
            </w:pPr>
            <w:r>
              <w:rPr>
                <w:color w:val="000000"/>
                <w:kern w:val="0"/>
                <w:sz w:val="24"/>
                <w:szCs w:val="24"/>
              </w:rPr>
              <w:t>40,729,637.78</w:t>
            </w:r>
          </w:p>
        </w:tc>
        <w:tc>
          <w:tcPr>
            <w:tcW w:w="0" w:type="auto"/>
            <w:vAlign w:val="center"/>
          </w:tcPr>
          <w:p w:rsidR="00B52DD1" w:rsidRDefault="00DF27B7">
            <w:pPr>
              <w:jc w:val="right"/>
            </w:pPr>
            <w:r>
              <w:rPr>
                <w:color w:val="000000"/>
                <w:kern w:val="0"/>
                <w:sz w:val="24"/>
                <w:szCs w:val="24"/>
              </w:rPr>
              <w:t>5.63</w:t>
            </w:r>
          </w:p>
        </w:tc>
      </w:tr>
      <w:tr w:rsidR="00B52DD1">
        <w:tc>
          <w:tcPr>
            <w:tcW w:w="0" w:type="auto"/>
            <w:vAlign w:val="center"/>
          </w:tcPr>
          <w:p w:rsidR="00B52DD1" w:rsidRDefault="00DF27B7">
            <w:pPr>
              <w:jc w:val="center"/>
            </w:pPr>
            <w:r>
              <w:rPr>
                <w:color w:val="000000"/>
                <w:kern w:val="0"/>
                <w:sz w:val="24"/>
                <w:szCs w:val="24"/>
              </w:rPr>
              <w:t>4</w:t>
            </w:r>
          </w:p>
        </w:tc>
        <w:tc>
          <w:tcPr>
            <w:tcW w:w="0" w:type="auto"/>
            <w:vAlign w:val="center"/>
          </w:tcPr>
          <w:p w:rsidR="00B52DD1" w:rsidRDefault="00DF27B7">
            <w:pPr>
              <w:jc w:val="center"/>
            </w:pPr>
            <w:r>
              <w:rPr>
                <w:color w:val="000000"/>
                <w:kern w:val="0"/>
                <w:sz w:val="24"/>
                <w:szCs w:val="24"/>
              </w:rPr>
              <w:t>000651</w:t>
            </w:r>
          </w:p>
        </w:tc>
        <w:tc>
          <w:tcPr>
            <w:tcW w:w="0" w:type="auto"/>
            <w:vAlign w:val="center"/>
          </w:tcPr>
          <w:p w:rsidR="00B52DD1" w:rsidRDefault="00DF27B7">
            <w:pPr>
              <w:jc w:val="center"/>
            </w:pPr>
            <w:r>
              <w:rPr>
                <w:color w:val="000000"/>
                <w:kern w:val="0"/>
                <w:sz w:val="24"/>
                <w:szCs w:val="24"/>
              </w:rPr>
              <w:t>格力电器</w:t>
            </w:r>
          </w:p>
        </w:tc>
        <w:tc>
          <w:tcPr>
            <w:tcW w:w="0" w:type="auto"/>
            <w:vAlign w:val="center"/>
          </w:tcPr>
          <w:p w:rsidR="00B52DD1" w:rsidRDefault="00DF27B7">
            <w:pPr>
              <w:jc w:val="right"/>
            </w:pPr>
            <w:r>
              <w:rPr>
                <w:color w:val="000000"/>
                <w:kern w:val="0"/>
                <w:sz w:val="24"/>
                <w:szCs w:val="24"/>
              </w:rPr>
              <w:t>620,800</w:t>
            </w:r>
          </w:p>
        </w:tc>
        <w:tc>
          <w:tcPr>
            <w:tcW w:w="0" w:type="auto"/>
            <w:vAlign w:val="center"/>
          </w:tcPr>
          <w:p w:rsidR="00B52DD1" w:rsidRDefault="00DF27B7">
            <w:pPr>
              <w:jc w:val="right"/>
            </w:pPr>
            <w:r>
              <w:rPr>
                <w:color w:val="000000"/>
                <w:kern w:val="0"/>
                <w:sz w:val="24"/>
                <w:szCs w:val="24"/>
              </w:rPr>
              <w:t>40,712,064.00</w:t>
            </w:r>
          </w:p>
        </w:tc>
        <w:tc>
          <w:tcPr>
            <w:tcW w:w="0" w:type="auto"/>
            <w:vAlign w:val="center"/>
          </w:tcPr>
          <w:p w:rsidR="00B52DD1" w:rsidRDefault="00DF27B7">
            <w:pPr>
              <w:jc w:val="right"/>
            </w:pPr>
            <w:r>
              <w:rPr>
                <w:color w:val="000000"/>
                <w:kern w:val="0"/>
                <w:sz w:val="24"/>
                <w:szCs w:val="24"/>
              </w:rPr>
              <w:t>5.62</w:t>
            </w:r>
          </w:p>
        </w:tc>
      </w:tr>
      <w:tr w:rsidR="00B52DD1">
        <w:tc>
          <w:tcPr>
            <w:tcW w:w="0" w:type="auto"/>
            <w:vAlign w:val="center"/>
          </w:tcPr>
          <w:p w:rsidR="00B52DD1" w:rsidRDefault="00DF27B7">
            <w:pPr>
              <w:jc w:val="center"/>
            </w:pPr>
            <w:r>
              <w:rPr>
                <w:color w:val="000000"/>
                <w:kern w:val="0"/>
                <w:sz w:val="24"/>
                <w:szCs w:val="24"/>
              </w:rPr>
              <w:t>5</w:t>
            </w:r>
          </w:p>
        </w:tc>
        <w:tc>
          <w:tcPr>
            <w:tcW w:w="0" w:type="auto"/>
            <w:vAlign w:val="center"/>
          </w:tcPr>
          <w:p w:rsidR="00B52DD1" w:rsidRDefault="00DF27B7">
            <w:pPr>
              <w:jc w:val="center"/>
            </w:pPr>
            <w:r>
              <w:rPr>
                <w:color w:val="000000"/>
                <w:kern w:val="0"/>
                <w:sz w:val="24"/>
                <w:szCs w:val="24"/>
              </w:rPr>
              <w:t>002127</w:t>
            </w:r>
          </w:p>
        </w:tc>
        <w:tc>
          <w:tcPr>
            <w:tcW w:w="0" w:type="auto"/>
            <w:vAlign w:val="center"/>
          </w:tcPr>
          <w:p w:rsidR="00B52DD1" w:rsidRDefault="00DF27B7">
            <w:pPr>
              <w:jc w:val="center"/>
            </w:pPr>
            <w:r>
              <w:rPr>
                <w:color w:val="000000"/>
                <w:kern w:val="0"/>
                <w:sz w:val="24"/>
                <w:szCs w:val="24"/>
              </w:rPr>
              <w:t>南极电商</w:t>
            </w:r>
          </w:p>
        </w:tc>
        <w:tc>
          <w:tcPr>
            <w:tcW w:w="0" w:type="auto"/>
            <w:vAlign w:val="center"/>
          </w:tcPr>
          <w:p w:rsidR="00B52DD1" w:rsidRDefault="00DF27B7">
            <w:pPr>
              <w:jc w:val="right"/>
            </w:pPr>
            <w:r>
              <w:rPr>
                <w:color w:val="000000"/>
                <w:kern w:val="0"/>
                <w:sz w:val="24"/>
                <w:szCs w:val="24"/>
              </w:rPr>
              <w:t>3,722,493</w:t>
            </w:r>
          </w:p>
        </w:tc>
        <w:tc>
          <w:tcPr>
            <w:tcW w:w="0" w:type="auto"/>
            <w:vAlign w:val="center"/>
          </w:tcPr>
          <w:p w:rsidR="00B52DD1" w:rsidRDefault="00DF27B7">
            <w:pPr>
              <w:jc w:val="right"/>
            </w:pPr>
            <w:r>
              <w:rPr>
                <w:color w:val="000000"/>
                <w:kern w:val="0"/>
                <w:sz w:val="24"/>
                <w:szCs w:val="24"/>
              </w:rPr>
              <w:t>40,612,398.63</w:t>
            </w:r>
          </w:p>
        </w:tc>
        <w:tc>
          <w:tcPr>
            <w:tcW w:w="0" w:type="auto"/>
            <w:vAlign w:val="center"/>
          </w:tcPr>
          <w:p w:rsidR="00B52DD1" w:rsidRDefault="00DF27B7">
            <w:pPr>
              <w:jc w:val="right"/>
            </w:pPr>
            <w:r>
              <w:rPr>
                <w:color w:val="000000"/>
                <w:kern w:val="0"/>
                <w:sz w:val="24"/>
                <w:szCs w:val="24"/>
              </w:rPr>
              <w:t>5.61</w:t>
            </w:r>
          </w:p>
        </w:tc>
      </w:tr>
      <w:tr w:rsidR="00B52DD1">
        <w:tc>
          <w:tcPr>
            <w:tcW w:w="0" w:type="auto"/>
            <w:vAlign w:val="center"/>
          </w:tcPr>
          <w:p w:rsidR="00B52DD1" w:rsidRDefault="00DF27B7">
            <w:pPr>
              <w:jc w:val="center"/>
            </w:pPr>
            <w:r>
              <w:rPr>
                <w:color w:val="000000"/>
                <w:kern w:val="0"/>
                <w:sz w:val="24"/>
                <w:szCs w:val="24"/>
              </w:rPr>
              <w:t>6</w:t>
            </w:r>
          </w:p>
        </w:tc>
        <w:tc>
          <w:tcPr>
            <w:tcW w:w="0" w:type="auto"/>
            <w:vAlign w:val="center"/>
          </w:tcPr>
          <w:p w:rsidR="00B52DD1" w:rsidRDefault="00DF27B7">
            <w:pPr>
              <w:jc w:val="center"/>
            </w:pPr>
            <w:r>
              <w:rPr>
                <w:color w:val="000000"/>
                <w:kern w:val="0"/>
                <w:sz w:val="24"/>
                <w:szCs w:val="24"/>
              </w:rPr>
              <w:t>603378</w:t>
            </w:r>
          </w:p>
        </w:tc>
        <w:tc>
          <w:tcPr>
            <w:tcW w:w="0" w:type="auto"/>
            <w:vAlign w:val="center"/>
          </w:tcPr>
          <w:p w:rsidR="00B52DD1" w:rsidRDefault="00DF27B7">
            <w:pPr>
              <w:jc w:val="center"/>
            </w:pPr>
            <w:r>
              <w:rPr>
                <w:color w:val="000000"/>
                <w:kern w:val="0"/>
                <w:sz w:val="24"/>
                <w:szCs w:val="24"/>
              </w:rPr>
              <w:t>亚士创能</w:t>
            </w:r>
          </w:p>
        </w:tc>
        <w:tc>
          <w:tcPr>
            <w:tcW w:w="0" w:type="auto"/>
            <w:vAlign w:val="center"/>
          </w:tcPr>
          <w:p w:rsidR="00B52DD1" w:rsidRDefault="00DF27B7">
            <w:pPr>
              <w:jc w:val="right"/>
            </w:pPr>
            <w:r>
              <w:rPr>
                <w:color w:val="000000"/>
                <w:kern w:val="0"/>
                <w:sz w:val="24"/>
                <w:szCs w:val="24"/>
              </w:rPr>
              <w:t>1,150,900</w:t>
            </w:r>
          </w:p>
        </w:tc>
        <w:tc>
          <w:tcPr>
            <w:tcW w:w="0" w:type="auto"/>
            <w:vAlign w:val="center"/>
          </w:tcPr>
          <w:p w:rsidR="00B52DD1" w:rsidRDefault="00DF27B7">
            <w:pPr>
              <w:jc w:val="right"/>
            </w:pPr>
            <w:r>
              <w:rPr>
                <w:color w:val="000000"/>
                <w:kern w:val="0"/>
                <w:sz w:val="24"/>
                <w:szCs w:val="24"/>
              </w:rPr>
              <w:t>25,688,088.00</w:t>
            </w:r>
          </w:p>
        </w:tc>
        <w:tc>
          <w:tcPr>
            <w:tcW w:w="0" w:type="auto"/>
            <w:vAlign w:val="center"/>
          </w:tcPr>
          <w:p w:rsidR="00B52DD1" w:rsidRDefault="00DF27B7">
            <w:pPr>
              <w:jc w:val="right"/>
            </w:pPr>
            <w:r>
              <w:rPr>
                <w:color w:val="000000"/>
                <w:kern w:val="0"/>
                <w:sz w:val="24"/>
                <w:szCs w:val="24"/>
              </w:rPr>
              <w:t>3.55</w:t>
            </w:r>
          </w:p>
        </w:tc>
      </w:tr>
      <w:tr w:rsidR="00B52DD1">
        <w:tc>
          <w:tcPr>
            <w:tcW w:w="0" w:type="auto"/>
            <w:vAlign w:val="center"/>
          </w:tcPr>
          <w:p w:rsidR="00B52DD1" w:rsidRDefault="00DF27B7">
            <w:pPr>
              <w:jc w:val="center"/>
            </w:pPr>
            <w:r>
              <w:rPr>
                <w:color w:val="000000"/>
                <w:kern w:val="0"/>
                <w:sz w:val="24"/>
                <w:szCs w:val="24"/>
              </w:rPr>
              <w:t>7</w:t>
            </w:r>
          </w:p>
        </w:tc>
        <w:tc>
          <w:tcPr>
            <w:tcW w:w="0" w:type="auto"/>
            <w:vAlign w:val="center"/>
          </w:tcPr>
          <w:p w:rsidR="00B52DD1" w:rsidRDefault="00DF27B7">
            <w:pPr>
              <w:jc w:val="center"/>
            </w:pPr>
            <w:r>
              <w:rPr>
                <w:color w:val="000000"/>
                <w:kern w:val="0"/>
                <w:sz w:val="24"/>
                <w:szCs w:val="24"/>
              </w:rPr>
              <w:t>002396</w:t>
            </w:r>
          </w:p>
        </w:tc>
        <w:tc>
          <w:tcPr>
            <w:tcW w:w="0" w:type="auto"/>
            <w:vAlign w:val="center"/>
          </w:tcPr>
          <w:p w:rsidR="00B52DD1" w:rsidRDefault="00DF27B7">
            <w:pPr>
              <w:jc w:val="center"/>
            </w:pPr>
            <w:r>
              <w:rPr>
                <w:color w:val="000000"/>
                <w:kern w:val="0"/>
                <w:sz w:val="24"/>
                <w:szCs w:val="24"/>
              </w:rPr>
              <w:t>星网锐捷</w:t>
            </w:r>
          </w:p>
        </w:tc>
        <w:tc>
          <w:tcPr>
            <w:tcW w:w="0" w:type="auto"/>
            <w:vAlign w:val="center"/>
          </w:tcPr>
          <w:p w:rsidR="00B52DD1" w:rsidRDefault="00DF27B7">
            <w:pPr>
              <w:jc w:val="right"/>
            </w:pPr>
            <w:r>
              <w:rPr>
                <w:color w:val="000000"/>
                <w:kern w:val="0"/>
                <w:sz w:val="24"/>
                <w:szCs w:val="24"/>
              </w:rPr>
              <w:t>639,999</w:t>
            </w:r>
          </w:p>
        </w:tc>
        <w:tc>
          <w:tcPr>
            <w:tcW w:w="0" w:type="auto"/>
            <w:vAlign w:val="center"/>
          </w:tcPr>
          <w:p w:rsidR="00B52DD1" w:rsidRDefault="00DF27B7">
            <w:pPr>
              <w:jc w:val="right"/>
            </w:pPr>
            <w:r>
              <w:rPr>
                <w:color w:val="000000"/>
                <w:kern w:val="0"/>
                <w:sz w:val="24"/>
                <w:szCs w:val="24"/>
              </w:rPr>
              <w:t>22,758,364.44</w:t>
            </w:r>
          </w:p>
        </w:tc>
        <w:tc>
          <w:tcPr>
            <w:tcW w:w="0" w:type="auto"/>
            <w:vAlign w:val="center"/>
          </w:tcPr>
          <w:p w:rsidR="00B52DD1" w:rsidRDefault="00DF27B7">
            <w:pPr>
              <w:jc w:val="right"/>
            </w:pPr>
            <w:r>
              <w:rPr>
                <w:color w:val="000000"/>
                <w:kern w:val="0"/>
                <w:sz w:val="24"/>
                <w:szCs w:val="24"/>
              </w:rPr>
              <w:t>3.14</w:t>
            </w:r>
          </w:p>
        </w:tc>
      </w:tr>
      <w:tr w:rsidR="00B52DD1">
        <w:tc>
          <w:tcPr>
            <w:tcW w:w="0" w:type="auto"/>
            <w:vAlign w:val="center"/>
          </w:tcPr>
          <w:p w:rsidR="00B52DD1" w:rsidRDefault="00DF27B7">
            <w:pPr>
              <w:jc w:val="center"/>
            </w:pPr>
            <w:r>
              <w:rPr>
                <w:color w:val="000000"/>
                <w:kern w:val="0"/>
                <w:sz w:val="24"/>
                <w:szCs w:val="24"/>
              </w:rPr>
              <w:t>8</w:t>
            </w:r>
          </w:p>
        </w:tc>
        <w:tc>
          <w:tcPr>
            <w:tcW w:w="0" w:type="auto"/>
            <w:vAlign w:val="center"/>
          </w:tcPr>
          <w:p w:rsidR="00B52DD1" w:rsidRDefault="00DF27B7">
            <w:pPr>
              <w:jc w:val="center"/>
            </w:pPr>
            <w:r>
              <w:rPr>
                <w:color w:val="000000"/>
                <w:kern w:val="0"/>
                <w:sz w:val="24"/>
                <w:szCs w:val="24"/>
              </w:rPr>
              <w:t>600036</w:t>
            </w:r>
          </w:p>
        </w:tc>
        <w:tc>
          <w:tcPr>
            <w:tcW w:w="0" w:type="auto"/>
            <w:vAlign w:val="center"/>
          </w:tcPr>
          <w:p w:rsidR="00B52DD1" w:rsidRDefault="00DF27B7">
            <w:pPr>
              <w:jc w:val="center"/>
            </w:pPr>
            <w:r>
              <w:rPr>
                <w:color w:val="000000"/>
                <w:kern w:val="0"/>
                <w:sz w:val="24"/>
                <w:szCs w:val="24"/>
              </w:rPr>
              <w:t>招商银行</w:t>
            </w:r>
          </w:p>
        </w:tc>
        <w:tc>
          <w:tcPr>
            <w:tcW w:w="0" w:type="auto"/>
            <w:vAlign w:val="center"/>
          </w:tcPr>
          <w:p w:rsidR="00B52DD1" w:rsidRDefault="00DF27B7">
            <w:pPr>
              <w:jc w:val="right"/>
            </w:pPr>
            <w:r>
              <w:rPr>
                <w:color w:val="000000"/>
                <w:kern w:val="0"/>
                <w:sz w:val="24"/>
                <w:szCs w:val="24"/>
              </w:rPr>
              <w:t>592,172</w:t>
            </w:r>
          </w:p>
        </w:tc>
        <w:tc>
          <w:tcPr>
            <w:tcW w:w="0" w:type="auto"/>
            <w:vAlign w:val="center"/>
          </w:tcPr>
          <w:p w:rsidR="00B52DD1" w:rsidRDefault="00DF27B7">
            <w:pPr>
              <w:jc w:val="right"/>
            </w:pPr>
            <w:r>
              <w:rPr>
                <w:color w:val="000000"/>
                <w:kern w:val="0"/>
                <w:sz w:val="24"/>
                <w:szCs w:val="24"/>
              </w:rPr>
              <w:t>22,253,823.76</w:t>
            </w:r>
          </w:p>
        </w:tc>
        <w:tc>
          <w:tcPr>
            <w:tcW w:w="0" w:type="auto"/>
            <w:vAlign w:val="center"/>
          </w:tcPr>
          <w:p w:rsidR="00B52DD1" w:rsidRDefault="00DF27B7">
            <w:pPr>
              <w:jc w:val="right"/>
            </w:pPr>
            <w:r>
              <w:rPr>
                <w:color w:val="000000"/>
                <w:kern w:val="0"/>
                <w:sz w:val="24"/>
                <w:szCs w:val="24"/>
              </w:rPr>
              <w:t>3.07</w:t>
            </w:r>
          </w:p>
        </w:tc>
      </w:tr>
      <w:tr w:rsidR="00B52DD1">
        <w:tc>
          <w:tcPr>
            <w:tcW w:w="0" w:type="auto"/>
            <w:vAlign w:val="center"/>
          </w:tcPr>
          <w:p w:rsidR="00B52DD1" w:rsidRDefault="00DF27B7">
            <w:pPr>
              <w:jc w:val="center"/>
            </w:pPr>
            <w:r>
              <w:rPr>
                <w:color w:val="000000"/>
                <w:kern w:val="0"/>
                <w:sz w:val="24"/>
                <w:szCs w:val="24"/>
              </w:rPr>
              <w:t>9</w:t>
            </w:r>
          </w:p>
        </w:tc>
        <w:tc>
          <w:tcPr>
            <w:tcW w:w="0" w:type="auto"/>
            <w:vAlign w:val="center"/>
          </w:tcPr>
          <w:p w:rsidR="00B52DD1" w:rsidRDefault="00DF27B7">
            <w:pPr>
              <w:jc w:val="center"/>
            </w:pPr>
            <w:r>
              <w:rPr>
                <w:color w:val="000000"/>
                <w:kern w:val="0"/>
                <w:sz w:val="24"/>
                <w:szCs w:val="24"/>
              </w:rPr>
              <w:t>300498</w:t>
            </w:r>
          </w:p>
        </w:tc>
        <w:tc>
          <w:tcPr>
            <w:tcW w:w="0" w:type="auto"/>
            <w:vAlign w:val="center"/>
          </w:tcPr>
          <w:p w:rsidR="00B52DD1" w:rsidRDefault="00DF27B7">
            <w:pPr>
              <w:jc w:val="center"/>
            </w:pPr>
            <w:r>
              <w:rPr>
                <w:color w:val="000000"/>
                <w:kern w:val="0"/>
                <w:sz w:val="24"/>
                <w:szCs w:val="24"/>
              </w:rPr>
              <w:t>温氏股份</w:t>
            </w:r>
          </w:p>
        </w:tc>
        <w:tc>
          <w:tcPr>
            <w:tcW w:w="0" w:type="auto"/>
            <w:vAlign w:val="center"/>
          </w:tcPr>
          <w:p w:rsidR="00B52DD1" w:rsidRDefault="00DF27B7">
            <w:pPr>
              <w:jc w:val="right"/>
            </w:pPr>
            <w:r>
              <w:rPr>
                <w:color w:val="000000"/>
                <w:kern w:val="0"/>
                <w:sz w:val="24"/>
                <w:szCs w:val="24"/>
              </w:rPr>
              <w:t>657,327</w:t>
            </w:r>
          </w:p>
        </w:tc>
        <w:tc>
          <w:tcPr>
            <w:tcW w:w="0" w:type="auto"/>
            <w:vAlign w:val="center"/>
          </w:tcPr>
          <w:p w:rsidR="00B52DD1" w:rsidRDefault="00DF27B7">
            <w:pPr>
              <w:jc w:val="right"/>
            </w:pPr>
            <w:r>
              <w:rPr>
                <w:color w:val="000000"/>
                <w:kern w:val="0"/>
                <w:sz w:val="24"/>
                <w:szCs w:val="24"/>
              </w:rPr>
              <w:t>22,086,187.20</w:t>
            </w:r>
          </w:p>
        </w:tc>
        <w:tc>
          <w:tcPr>
            <w:tcW w:w="0" w:type="auto"/>
            <w:vAlign w:val="center"/>
          </w:tcPr>
          <w:p w:rsidR="00B52DD1" w:rsidRDefault="00DF27B7">
            <w:pPr>
              <w:jc w:val="right"/>
            </w:pPr>
            <w:r>
              <w:rPr>
                <w:color w:val="000000"/>
                <w:kern w:val="0"/>
                <w:sz w:val="24"/>
                <w:szCs w:val="24"/>
              </w:rPr>
              <w:t>3.05</w:t>
            </w:r>
          </w:p>
        </w:tc>
      </w:tr>
      <w:tr w:rsidR="00B52DD1">
        <w:tc>
          <w:tcPr>
            <w:tcW w:w="0" w:type="auto"/>
            <w:vAlign w:val="center"/>
          </w:tcPr>
          <w:p w:rsidR="00B52DD1" w:rsidRDefault="00DF27B7">
            <w:pPr>
              <w:jc w:val="center"/>
            </w:pPr>
            <w:r>
              <w:rPr>
                <w:color w:val="000000"/>
                <w:kern w:val="0"/>
                <w:sz w:val="24"/>
                <w:szCs w:val="24"/>
              </w:rPr>
              <w:t>10</w:t>
            </w:r>
          </w:p>
        </w:tc>
        <w:tc>
          <w:tcPr>
            <w:tcW w:w="0" w:type="auto"/>
            <w:vAlign w:val="center"/>
          </w:tcPr>
          <w:p w:rsidR="00B52DD1" w:rsidRDefault="00DF27B7">
            <w:pPr>
              <w:jc w:val="center"/>
            </w:pPr>
            <w:r>
              <w:rPr>
                <w:color w:val="000000"/>
                <w:kern w:val="0"/>
                <w:sz w:val="24"/>
                <w:szCs w:val="24"/>
              </w:rPr>
              <w:t>603708</w:t>
            </w:r>
          </w:p>
        </w:tc>
        <w:tc>
          <w:tcPr>
            <w:tcW w:w="0" w:type="auto"/>
            <w:vAlign w:val="center"/>
          </w:tcPr>
          <w:p w:rsidR="00B52DD1" w:rsidRDefault="00DF27B7">
            <w:pPr>
              <w:jc w:val="center"/>
            </w:pPr>
            <w:r>
              <w:rPr>
                <w:color w:val="000000"/>
                <w:kern w:val="0"/>
                <w:sz w:val="24"/>
                <w:szCs w:val="24"/>
              </w:rPr>
              <w:t>家家悦</w:t>
            </w:r>
          </w:p>
        </w:tc>
        <w:tc>
          <w:tcPr>
            <w:tcW w:w="0" w:type="auto"/>
            <w:vAlign w:val="center"/>
          </w:tcPr>
          <w:p w:rsidR="00B52DD1" w:rsidRDefault="00DF27B7">
            <w:pPr>
              <w:jc w:val="right"/>
            </w:pPr>
            <w:r>
              <w:rPr>
                <w:color w:val="000000"/>
                <w:kern w:val="0"/>
                <w:sz w:val="24"/>
                <w:szCs w:val="24"/>
              </w:rPr>
              <w:t>895,352</w:t>
            </w:r>
          </w:p>
        </w:tc>
        <w:tc>
          <w:tcPr>
            <w:tcW w:w="0" w:type="auto"/>
            <w:vAlign w:val="center"/>
          </w:tcPr>
          <w:p w:rsidR="00B52DD1" w:rsidRDefault="00DF27B7">
            <w:pPr>
              <w:jc w:val="right"/>
            </w:pPr>
            <w:r>
              <w:rPr>
                <w:color w:val="000000"/>
                <w:kern w:val="0"/>
                <w:sz w:val="24"/>
                <w:szCs w:val="24"/>
              </w:rPr>
              <w:t>21,792,867.68</w:t>
            </w:r>
          </w:p>
        </w:tc>
        <w:tc>
          <w:tcPr>
            <w:tcW w:w="0" w:type="auto"/>
            <w:vAlign w:val="center"/>
          </w:tcPr>
          <w:p w:rsidR="00B52DD1" w:rsidRDefault="00DF27B7">
            <w:pPr>
              <w:jc w:val="right"/>
            </w:pPr>
            <w:r>
              <w:rPr>
                <w:color w:val="000000"/>
                <w:kern w:val="0"/>
                <w:sz w:val="24"/>
                <w:szCs w:val="24"/>
              </w:rPr>
              <w:t>3.01</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30,030,000.00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4.15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30,030,000.00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4.15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1,535,972.67</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0.21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31,565,972.67</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4.36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B52DD1">
        <w:tc>
          <w:tcPr>
            <w:tcW w:w="0" w:type="auto"/>
            <w:vAlign w:val="center"/>
          </w:tcPr>
          <w:p w:rsidR="00B52DD1" w:rsidRDefault="00DF27B7">
            <w:pPr>
              <w:jc w:val="center"/>
            </w:pPr>
            <w:r>
              <w:rPr>
                <w:color w:val="000000"/>
                <w:kern w:val="0"/>
                <w:sz w:val="24"/>
                <w:szCs w:val="24"/>
              </w:rPr>
              <w:t>1</w:t>
            </w:r>
          </w:p>
        </w:tc>
        <w:tc>
          <w:tcPr>
            <w:tcW w:w="0" w:type="auto"/>
            <w:vAlign w:val="center"/>
          </w:tcPr>
          <w:p w:rsidR="00B52DD1" w:rsidRDefault="00DF27B7">
            <w:pPr>
              <w:jc w:val="center"/>
            </w:pPr>
            <w:r>
              <w:rPr>
                <w:color w:val="000000"/>
                <w:kern w:val="0"/>
                <w:sz w:val="24"/>
                <w:szCs w:val="24"/>
              </w:rPr>
              <w:t>190302</w:t>
            </w:r>
          </w:p>
        </w:tc>
        <w:tc>
          <w:tcPr>
            <w:tcW w:w="0" w:type="auto"/>
            <w:vAlign w:val="center"/>
          </w:tcPr>
          <w:p w:rsidR="00B52DD1" w:rsidRDefault="00DF27B7">
            <w:pPr>
              <w:jc w:val="center"/>
            </w:pPr>
            <w:r>
              <w:rPr>
                <w:color w:val="000000"/>
                <w:kern w:val="0"/>
                <w:sz w:val="24"/>
                <w:szCs w:val="24"/>
              </w:rPr>
              <w:t>19</w:t>
            </w:r>
            <w:r>
              <w:rPr>
                <w:color w:val="000000"/>
                <w:kern w:val="0"/>
                <w:sz w:val="24"/>
                <w:szCs w:val="24"/>
              </w:rPr>
              <w:t>进出</w:t>
            </w:r>
            <w:r>
              <w:rPr>
                <w:color w:val="000000"/>
                <w:kern w:val="0"/>
                <w:sz w:val="24"/>
                <w:szCs w:val="24"/>
              </w:rPr>
              <w:t>02</w:t>
            </w:r>
          </w:p>
        </w:tc>
        <w:tc>
          <w:tcPr>
            <w:tcW w:w="0" w:type="auto"/>
            <w:vAlign w:val="center"/>
          </w:tcPr>
          <w:p w:rsidR="00B52DD1" w:rsidRDefault="00DF27B7">
            <w:pPr>
              <w:jc w:val="right"/>
            </w:pPr>
            <w:r>
              <w:rPr>
                <w:color w:val="000000"/>
                <w:kern w:val="0"/>
                <w:sz w:val="24"/>
                <w:szCs w:val="24"/>
              </w:rPr>
              <w:t>300,000</w:t>
            </w:r>
          </w:p>
        </w:tc>
        <w:tc>
          <w:tcPr>
            <w:tcW w:w="0" w:type="auto"/>
            <w:vAlign w:val="center"/>
          </w:tcPr>
          <w:p w:rsidR="00B52DD1" w:rsidRDefault="00DF27B7">
            <w:pPr>
              <w:jc w:val="right"/>
            </w:pPr>
            <w:r>
              <w:rPr>
                <w:color w:val="000000"/>
                <w:kern w:val="0"/>
                <w:sz w:val="24"/>
                <w:szCs w:val="24"/>
              </w:rPr>
              <w:t>30,030,000.00</w:t>
            </w:r>
          </w:p>
        </w:tc>
        <w:tc>
          <w:tcPr>
            <w:tcW w:w="0" w:type="auto"/>
            <w:vAlign w:val="center"/>
          </w:tcPr>
          <w:p w:rsidR="00B52DD1" w:rsidRDefault="00DF27B7">
            <w:pPr>
              <w:jc w:val="right"/>
            </w:pPr>
            <w:r>
              <w:rPr>
                <w:color w:val="000000"/>
                <w:kern w:val="0"/>
                <w:sz w:val="24"/>
                <w:szCs w:val="24"/>
              </w:rPr>
              <w:t>4.15</w:t>
            </w:r>
          </w:p>
        </w:tc>
      </w:tr>
      <w:tr w:rsidR="00B52DD1">
        <w:tc>
          <w:tcPr>
            <w:tcW w:w="0" w:type="auto"/>
            <w:vAlign w:val="center"/>
          </w:tcPr>
          <w:p w:rsidR="00B52DD1" w:rsidRDefault="00DF27B7">
            <w:pPr>
              <w:jc w:val="center"/>
            </w:pPr>
            <w:r>
              <w:rPr>
                <w:color w:val="000000"/>
                <w:kern w:val="0"/>
                <w:sz w:val="24"/>
                <w:szCs w:val="24"/>
              </w:rPr>
              <w:t>2</w:t>
            </w:r>
          </w:p>
        </w:tc>
        <w:tc>
          <w:tcPr>
            <w:tcW w:w="0" w:type="auto"/>
            <w:vAlign w:val="center"/>
          </w:tcPr>
          <w:p w:rsidR="00B52DD1" w:rsidRDefault="00DF27B7">
            <w:pPr>
              <w:jc w:val="center"/>
            </w:pPr>
            <w:r>
              <w:rPr>
                <w:color w:val="000000"/>
                <w:kern w:val="0"/>
                <w:sz w:val="24"/>
                <w:szCs w:val="24"/>
              </w:rPr>
              <w:t>110063</w:t>
            </w:r>
          </w:p>
        </w:tc>
        <w:tc>
          <w:tcPr>
            <w:tcW w:w="0" w:type="auto"/>
            <w:vAlign w:val="center"/>
          </w:tcPr>
          <w:p w:rsidR="00B52DD1" w:rsidRDefault="00DF27B7">
            <w:pPr>
              <w:jc w:val="center"/>
            </w:pPr>
            <w:r>
              <w:rPr>
                <w:color w:val="000000"/>
                <w:kern w:val="0"/>
                <w:sz w:val="24"/>
                <w:szCs w:val="24"/>
              </w:rPr>
              <w:t>鹰</w:t>
            </w:r>
            <w:r>
              <w:rPr>
                <w:color w:val="000000"/>
                <w:kern w:val="0"/>
                <w:sz w:val="24"/>
                <w:szCs w:val="24"/>
              </w:rPr>
              <w:t>19</w:t>
            </w:r>
            <w:r>
              <w:rPr>
                <w:color w:val="000000"/>
                <w:kern w:val="0"/>
                <w:sz w:val="24"/>
                <w:szCs w:val="24"/>
              </w:rPr>
              <w:t>转债</w:t>
            </w:r>
          </w:p>
        </w:tc>
        <w:tc>
          <w:tcPr>
            <w:tcW w:w="0" w:type="auto"/>
            <w:vAlign w:val="center"/>
          </w:tcPr>
          <w:p w:rsidR="00B52DD1" w:rsidRDefault="00DF27B7">
            <w:pPr>
              <w:jc w:val="right"/>
            </w:pPr>
            <w:r>
              <w:rPr>
                <w:color w:val="000000"/>
                <w:kern w:val="0"/>
                <w:sz w:val="24"/>
                <w:szCs w:val="24"/>
              </w:rPr>
              <w:t>6,910</w:t>
            </w:r>
          </w:p>
        </w:tc>
        <w:tc>
          <w:tcPr>
            <w:tcW w:w="0" w:type="auto"/>
            <w:vAlign w:val="center"/>
          </w:tcPr>
          <w:p w:rsidR="00B52DD1" w:rsidRDefault="00DF27B7">
            <w:pPr>
              <w:jc w:val="right"/>
            </w:pPr>
            <w:r>
              <w:rPr>
                <w:color w:val="000000"/>
                <w:kern w:val="0"/>
                <w:sz w:val="24"/>
                <w:szCs w:val="24"/>
              </w:rPr>
              <w:t>690,986.37</w:t>
            </w:r>
          </w:p>
        </w:tc>
        <w:tc>
          <w:tcPr>
            <w:tcW w:w="0" w:type="auto"/>
            <w:vAlign w:val="center"/>
          </w:tcPr>
          <w:p w:rsidR="00B52DD1" w:rsidRDefault="00DF27B7">
            <w:pPr>
              <w:jc w:val="right"/>
            </w:pPr>
            <w:r>
              <w:rPr>
                <w:color w:val="000000"/>
                <w:kern w:val="0"/>
                <w:sz w:val="24"/>
                <w:szCs w:val="24"/>
              </w:rPr>
              <w:t>0.10</w:t>
            </w:r>
          </w:p>
        </w:tc>
      </w:tr>
      <w:tr w:rsidR="00B52DD1">
        <w:tc>
          <w:tcPr>
            <w:tcW w:w="0" w:type="auto"/>
            <w:vAlign w:val="center"/>
          </w:tcPr>
          <w:p w:rsidR="00B52DD1" w:rsidRDefault="00DF27B7">
            <w:pPr>
              <w:jc w:val="center"/>
            </w:pPr>
            <w:r>
              <w:rPr>
                <w:color w:val="000000"/>
                <w:kern w:val="0"/>
                <w:sz w:val="24"/>
                <w:szCs w:val="24"/>
              </w:rPr>
              <w:t>3</w:t>
            </w:r>
          </w:p>
        </w:tc>
        <w:tc>
          <w:tcPr>
            <w:tcW w:w="0" w:type="auto"/>
            <w:vAlign w:val="center"/>
          </w:tcPr>
          <w:p w:rsidR="00B52DD1" w:rsidRDefault="00DF27B7">
            <w:pPr>
              <w:jc w:val="center"/>
            </w:pPr>
            <w:r>
              <w:rPr>
                <w:color w:val="000000"/>
                <w:kern w:val="0"/>
                <w:sz w:val="24"/>
                <w:szCs w:val="24"/>
              </w:rPr>
              <w:t>128085</w:t>
            </w:r>
          </w:p>
        </w:tc>
        <w:tc>
          <w:tcPr>
            <w:tcW w:w="0" w:type="auto"/>
            <w:vAlign w:val="center"/>
          </w:tcPr>
          <w:p w:rsidR="00B52DD1" w:rsidRDefault="00DF27B7">
            <w:pPr>
              <w:jc w:val="center"/>
            </w:pPr>
            <w:r>
              <w:rPr>
                <w:color w:val="000000"/>
                <w:kern w:val="0"/>
                <w:sz w:val="24"/>
                <w:szCs w:val="24"/>
              </w:rPr>
              <w:t>鸿达转债</w:t>
            </w:r>
          </w:p>
        </w:tc>
        <w:tc>
          <w:tcPr>
            <w:tcW w:w="0" w:type="auto"/>
            <w:vAlign w:val="center"/>
          </w:tcPr>
          <w:p w:rsidR="00B52DD1" w:rsidRDefault="00DF27B7">
            <w:pPr>
              <w:jc w:val="right"/>
            </w:pPr>
            <w:r>
              <w:rPr>
                <w:color w:val="000000"/>
                <w:kern w:val="0"/>
                <w:sz w:val="24"/>
                <w:szCs w:val="24"/>
              </w:rPr>
              <w:t>2,210</w:t>
            </w:r>
          </w:p>
        </w:tc>
        <w:tc>
          <w:tcPr>
            <w:tcW w:w="0" w:type="auto"/>
            <w:vAlign w:val="center"/>
          </w:tcPr>
          <w:p w:rsidR="00B52DD1" w:rsidRDefault="00DF27B7">
            <w:pPr>
              <w:jc w:val="right"/>
            </w:pPr>
            <w:r>
              <w:rPr>
                <w:color w:val="000000"/>
                <w:kern w:val="0"/>
                <w:sz w:val="24"/>
                <w:szCs w:val="24"/>
              </w:rPr>
              <w:t>220,996.12</w:t>
            </w:r>
          </w:p>
        </w:tc>
        <w:tc>
          <w:tcPr>
            <w:tcW w:w="0" w:type="auto"/>
            <w:vAlign w:val="center"/>
          </w:tcPr>
          <w:p w:rsidR="00B52DD1" w:rsidRDefault="00DF27B7">
            <w:pPr>
              <w:jc w:val="right"/>
            </w:pPr>
            <w:r>
              <w:rPr>
                <w:color w:val="000000"/>
                <w:kern w:val="0"/>
                <w:sz w:val="24"/>
                <w:szCs w:val="24"/>
              </w:rPr>
              <w:t>0.03</w:t>
            </w:r>
          </w:p>
        </w:tc>
      </w:tr>
      <w:tr w:rsidR="00B52DD1">
        <w:tc>
          <w:tcPr>
            <w:tcW w:w="0" w:type="auto"/>
            <w:vAlign w:val="center"/>
          </w:tcPr>
          <w:p w:rsidR="00B52DD1" w:rsidRDefault="00DF27B7">
            <w:pPr>
              <w:jc w:val="center"/>
            </w:pPr>
            <w:r>
              <w:rPr>
                <w:color w:val="000000"/>
                <w:kern w:val="0"/>
                <w:sz w:val="24"/>
                <w:szCs w:val="24"/>
              </w:rPr>
              <w:t>4</w:t>
            </w:r>
          </w:p>
        </w:tc>
        <w:tc>
          <w:tcPr>
            <w:tcW w:w="0" w:type="auto"/>
            <w:vAlign w:val="center"/>
          </w:tcPr>
          <w:p w:rsidR="00B52DD1" w:rsidRDefault="00DF27B7">
            <w:pPr>
              <w:jc w:val="center"/>
            </w:pPr>
            <w:r>
              <w:rPr>
                <w:color w:val="000000"/>
                <w:kern w:val="0"/>
                <w:sz w:val="24"/>
                <w:szCs w:val="24"/>
              </w:rPr>
              <w:t>113029</w:t>
            </w:r>
          </w:p>
        </w:tc>
        <w:tc>
          <w:tcPr>
            <w:tcW w:w="0" w:type="auto"/>
            <w:vAlign w:val="center"/>
          </w:tcPr>
          <w:p w:rsidR="00B52DD1" w:rsidRDefault="00DF27B7">
            <w:pPr>
              <w:jc w:val="center"/>
            </w:pPr>
            <w:r>
              <w:rPr>
                <w:color w:val="000000"/>
                <w:kern w:val="0"/>
                <w:sz w:val="24"/>
                <w:szCs w:val="24"/>
              </w:rPr>
              <w:t>明阳转债</w:t>
            </w:r>
          </w:p>
        </w:tc>
        <w:tc>
          <w:tcPr>
            <w:tcW w:w="0" w:type="auto"/>
            <w:vAlign w:val="center"/>
          </w:tcPr>
          <w:p w:rsidR="00B52DD1" w:rsidRDefault="00DF27B7">
            <w:pPr>
              <w:jc w:val="right"/>
            </w:pPr>
            <w:r>
              <w:rPr>
                <w:color w:val="000000"/>
                <w:kern w:val="0"/>
                <w:sz w:val="24"/>
                <w:szCs w:val="24"/>
              </w:rPr>
              <w:t>1,890</w:t>
            </w:r>
          </w:p>
        </w:tc>
        <w:tc>
          <w:tcPr>
            <w:tcW w:w="0" w:type="auto"/>
            <w:vAlign w:val="center"/>
          </w:tcPr>
          <w:p w:rsidR="00B52DD1" w:rsidRDefault="00DF27B7">
            <w:pPr>
              <w:jc w:val="right"/>
            </w:pPr>
            <w:r>
              <w:rPr>
                <w:color w:val="000000"/>
                <w:kern w:val="0"/>
                <w:sz w:val="24"/>
                <w:szCs w:val="24"/>
              </w:rPr>
              <w:t>188,996.69</w:t>
            </w:r>
          </w:p>
        </w:tc>
        <w:tc>
          <w:tcPr>
            <w:tcW w:w="0" w:type="auto"/>
            <w:vAlign w:val="center"/>
          </w:tcPr>
          <w:p w:rsidR="00B52DD1" w:rsidRDefault="00DF27B7">
            <w:pPr>
              <w:jc w:val="right"/>
            </w:pPr>
            <w:r>
              <w:rPr>
                <w:color w:val="000000"/>
                <w:kern w:val="0"/>
                <w:sz w:val="24"/>
                <w:szCs w:val="24"/>
              </w:rPr>
              <w:t>0.03</w:t>
            </w:r>
          </w:p>
        </w:tc>
      </w:tr>
      <w:tr w:rsidR="00B52DD1">
        <w:tc>
          <w:tcPr>
            <w:tcW w:w="0" w:type="auto"/>
            <w:vAlign w:val="center"/>
          </w:tcPr>
          <w:p w:rsidR="00B52DD1" w:rsidRDefault="00DF27B7">
            <w:pPr>
              <w:jc w:val="center"/>
            </w:pPr>
            <w:r>
              <w:rPr>
                <w:color w:val="000000"/>
                <w:kern w:val="0"/>
                <w:sz w:val="24"/>
                <w:szCs w:val="24"/>
              </w:rPr>
              <w:t>5</w:t>
            </w:r>
          </w:p>
        </w:tc>
        <w:tc>
          <w:tcPr>
            <w:tcW w:w="0" w:type="auto"/>
            <w:vAlign w:val="center"/>
          </w:tcPr>
          <w:p w:rsidR="00B52DD1" w:rsidRDefault="00DF27B7">
            <w:pPr>
              <w:jc w:val="center"/>
            </w:pPr>
            <w:r>
              <w:rPr>
                <w:color w:val="000000"/>
                <w:kern w:val="0"/>
                <w:sz w:val="24"/>
                <w:szCs w:val="24"/>
              </w:rPr>
              <w:t>128084</w:t>
            </w:r>
          </w:p>
        </w:tc>
        <w:tc>
          <w:tcPr>
            <w:tcW w:w="0" w:type="auto"/>
            <w:vAlign w:val="center"/>
          </w:tcPr>
          <w:p w:rsidR="00B52DD1" w:rsidRDefault="00DF27B7">
            <w:pPr>
              <w:jc w:val="center"/>
            </w:pPr>
            <w:r>
              <w:rPr>
                <w:color w:val="000000"/>
                <w:kern w:val="0"/>
                <w:sz w:val="24"/>
                <w:szCs w:val="24"/>
              </w:rPr>
              <w:t>木森转债</w:t>
            </w:r>
          </w:p>
        </w:tc>
        <w:tc>
          <w:tcPr>
            <w:tcW w:w="0" w:type="auto"/>
            <w:vAlign w:val="center"/>
          </w:tcPr>
          <w:p w:rsidR="00B52DD1" w:rsidRDefault="00DF27B7">
            <w:pPr>
              <w:jc w:val="right"/>
            </w:pPr>
            <w:r>
              <w:rPr>
                <w:color w:val="000000"/>
                <w:kern w:val="0"/>
                <w:sz w:val="24"/>
                <w:szCs w:val="24"/>
              </w:rPr>
              <w:t>1,730</w:t>
            </w:r>
          </w:p>
        </w:tc>
        <w:tc>
          <w:tcPr>
            <w:tcW w:w="0" w:type="auto"/>
            <w:vAlign w:val="center"/>
          </w:tcPr>
          <w:p w:rsidR="00B52DD1" w:rsidRDefault="00DF27B7">
            <w:pPr>
              <w:jc w:val="right"/>
            </w:pPr>
            <w:r>
              <w:rPr>
                <w:color w:val="000000"/>
                <w:kern w:val="0"/>
                <w:sz w:val="24"/>
                <w:szCs w:val="24"/>
              </w:rPr>
              <w:t>172,996.97</w:t>
            </w:r>
          </w:p>
        </w:tc>
        <w:tc>
          <w:tcPr>
            <w:tcW w:w="0" w:type="auto"/>
            <w:vAlign w:val="center"/>
          </w:tcPr>
          <w:p w:rsidR="00B52DD1" w:rsidRDefault="00DF27B7">
            <w:pPr>
              <w:jc w:val="right"/>
            </w:pPr>
            <w:r>
              <w:rPr>
                <w:color w:val="000000"/>
                <w:kern w:val="0"/>
                <w:sz w:val="24"/>
                <w:szCs w:val="24"/>
              </w:rPr>
              <w:t>0.02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招商银行（代码：600036）为易方达科瑞灵活配置混合型证券投资基金的前十大重仓证券之一。2019年7月8日，中国银行保险监督管理委员会上海监管局对招商银行股份有限公司信用卡中心2016年9月至2018年6月在为部分客户办理信用卡业务时，未遵守总授信额度管理制度的违法违规事实，处以责令改正，并处罚款20万元的行政处罚。</w:t>
      </w:r>
    </w:p>
    <w:p w:rsidR="00B52DD1" w:rsidRDefault="00DF27B7">
      <w:pPr>
        <w:spacing w:line="360" w:lineRule="auto"/>
        <w:rPr>
          <w:rFonts w:ascii="宋体" w:hAnsi="宋体"/>
          <w:color w:val="000000"/>
          <w:sz w:val="24"/>
          <w:szCs w:val="24"/>
        </w:rPr>
      </w:pPr>
      <w:r>
        <w:rPr>
          <w:rFonts w:ascii="宋体" w:hAnsi="宋体"/>
          <w:color w:val="000000"/>
          <w:sz w:val="24"/>
          <w:szCs w:val="24"/>
        </w:rPr>
        <w:t>本基金投资招商银行的投资决策程序符合公司投资制度的规定。</w:t>
      </w:r>
    </w:p>
    <w:p w:rsidR="00B52DD1" w:rsidRDefault="00DF27B7">
      <w:pPr>
        <w:spacing w:line="360" w:lineRule="auto"/>
        <w:rPr>
          <w:rFonts w:ascii="宋体" w:hAnsi="宋体"/>
          <w:color w:val="000000"/>
          <w:sz w:val="24"/>
          <w:szCs w:val="24"/>
        </w:rPr>
      </w:pPr>
      <w:r>
        <w:rPr>
          <w:rFonts w:ascii="宋体" w:hAnsi="宋体"/>
          <w:color w:val="000000"/>
          <w:sz w:val="24"/>
          <w:szCs w:val="24"/>
        </w:rPr>
        <w:t>除招商银行外，本基金投资的前十名证券的发行主体本期没有出现被监管部门立案调查，或在报告编制日前一年内受到公开谴责、处罚的</w:t>
      </w:r>
      <w:r>
        <w:rPr>
          <w:rFonts w:ascii="宋体" w:hAnsi="宋体"/>
          <w:color w:val="000000"/>
          <w:sz w:val="24"/>
          <w:szCs w:val="24"/>
        </w:rPr>
        <w:t>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164,709.38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4,818,444.93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622,438.44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211,399.31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5,816,992.06</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747,841,985.85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5,083,125.57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155,987,752.21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596,937,359.21</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AC11B0" w:rsidRPr="005A564A" w:rsidRDefault="00AC11B0" w:rsidP="00AC11B0">
      <w:pPr>
        <w:autoSpaceDE w:val="0"/>
        <w:autoSpaceDN w:val="0"/>
        <w:adjustRightInd w:val="0"/>
        <w:spacing w:before="29" w:line="360" w:lineRule="auto"/>
        <w:ind w:left="15"/>
        <w:jc w:val="right"/>
        <w:rPr>
          <w:sz w:val="24"/>
        </w:rPr>
      </w:pPr>
      <w:r w:rsidRPr="005A564A">
        <w:rPr>
          <w:sz w:val="24"/>
        </w:rPr>
        <w:t>单位：份</w:t>
      </w:r>
    </w:p>
    <w:tbl>
      <w:tblPr>
        <w:tblW w:w="8415" w:type="dxa"/>
        <w:tblInd w:w="108" w:type="dxa"/>
        <w:tblLayout w:type="fixed"/>
        <w:tblLook w:val="04A0" w:firstRow="1" w:lastRow="0" w:firstColumn="1" w:lastColumn="0" w:noHBand="0" w:noVBand="1"/>
      </w:tblPr>
      <w:tblGrid>
        <w:gridCol w:w="5037"/>
        <w:gridCol w:w="3378"/>
      </w:tblGrid>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pStyle w:val="ad"/>
              <w:adjustRightInd w:val="0"/>
              <w:snapToGrid w:val="0"/>
              <w:spacing w:line="360" w:lineRule="exact"/>
              <w:rPr>
                <w:rFonts w:eastAsiaTheme="minorEastAsia"/>
                <w:color w:val="000000" w:themeColor="text1"/>
              </w:rPr>
            </w:pPr>
            <w:r w:rsidRPr="003B42FF">
              <w:rPr>
                <w:rFonts w:eastAsiaTheme="minorEastAsia"/>
                <w:color w:val="000000" w:themeColor="text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123,612,662.00</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买入</w:t>
            </w:r>
            <w:r w:rsidRPr="003B42FF">
              <w:rPr>
                <w:rFonts w:eastAsiaTheme="minorEastAsia"/>
                <w:color w:val="000000" w:themeColor="text1"/>
                <w:sz w:val="24"/>
                <w:szCs w:val="24"/>
              </w:rPr>
              <w:t>/</w:t>
            </w:r>
            <w:r w:rsidRPr="003B42FF">
              <w:rPr>
                <w:rFonts w:eastAsiaTheme="minorEastAsia"/>
                <w:color w:val="000000" w:themeColor="text1"/>
                <w:sz w:val="24"/>
                <w:szCs w:val="24"/>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卖出</w:t>
            </w:r>
            <w:r w:rsidRPr="003B42FF">
              <w:rPr>
                <w:rFonts w:eastAsiaTheme="minorEastAsia"/>
                <w:color w:val="000000" w:themeColor="text1"/>
                <w:sz w:val="24"/>
                <w:szCs w:val="24"/>
              </w:rPr>
              <w:t>/</w:t>
            </w:r>
            <w:r w:rsidRPr="003B42FF">
              <w:rPr>
                <w:rFonts w:eastAsiaTheme="minorEastAsia"/>
                <w:color w:val="000000" w:themeColor="text1"/>
                <w:sz w:val="24"/>
                <w:szCs w:val="24"/>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123,612,662.00</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报告期期末持有的本基金份额占基金总份额比例（</w:t>
            </w:r>
            <w:r w:rsidRPr="003B42FF">
              <w:rPr>
                <w:rFonts w:eastAsiaTheme="minorEastAsia"/>
                <w:color w:val="000000" w:themeColor="text1"/>
                <w:sz w:val="24"/>
                <w:szCs w:val="24"/>
              </w:rPr>
              <w:t>%</w:t>
            </w:r>
            <w:r w:rsidRPr="003B42FF">
              <w:rPr>
                <w:rFonts w:eastAsiaTheme="minorEastAsia"/>
                <w:color w:val="000000" w:themeColor="text1"/>
                <w:sz w:val="24"/>
                <w:szCs w:val="24"/>
              </w:rPr>
              <w:t>）</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bl>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1560"/>
        <w:gridCol w:w="1417"/>
        <w:gridCol w:w="1987"/>
        <w:gridCol w:w="1982"/>
        <w:gridCol w:w="1255"/>
      </w:tblGrid>
      <w:tr w:rsidR="00750D48" w:rsidTr="005602F3">
        <w:trPr>
          <w:trHeight w:val="340"/>
          <w:jc w:val="center"/>
        </w:trPr>
        <w:tc>
          <w:tcPr>
            <w:tcW w:w="1024" w:type="dxa"/>
            <w:vAlign w:val="center"/>
          </w:tcPr>
          <w:p w:rsidR="00750D48" w:rsidRPr="00B227EA" w:rsidRDefault="00750D48">
            <w:pPr>
              <w:pStyle w:val="ad"/>
              <w:adjustRightInd w:val="0"/>
              <w:snapToGrid w:val="0"/>
              <w:spacing w:line="360" w:lineRule="exact"/>
              <w:jc w:val="center"/>
              <w:rPr>
                <w:color w:val="000000"/>
              </w:rPr>
            </w:pPr>
            <w:r w:rsidRPr="00B227EA">
              <w:rPr>
                <w:color w:val="000000"/>
              </w:rPr>
              <w:t>序号</w:t>
            </w:r>
          </w:p>
        </w:tc>
        <w:tc>
          <w:tcPr>
            <w:tcW w:w="1560"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交易方式</w:t>
            </w:r>
          </w:p>
        </w:tc>
        <w:tc>
          <w:tcPr>
            <w:tcW w:w="1417" w:type="dxa"/>
          </w:tcPr>
          <w:p w:rsidR="00750D48" w:rsidRPr="00B227EA" w:rsidRDefault="00750D48">
            <w:pPr>
              <w:adjustRightInd w:val="0"/>
              <w:snapToGrid w:val="0"/>
              <w:spacing w:line="360" w:lineRule="exact"/>
              <w:rPr>
                <w:color w:val="000000"/>
                <w:kern w:val="0"/>
                <w:sz w:val="24"/>
                <w:szCs w:val="24"/>
              </w:rPr>
            </w:pPr>
            <w:r w:rsidRPr="00B227EA">
              <w:rPr>
                <w:color w:val="000000"/>
                <w:kern w:val="0"/>
                <w:sz w:val="24"/>
              </w:rPr>
              <w:t>交易日期</w:t>
            </w:r>
          </w:p>
        </w:tc>
        <w:tc>
          <w:tcPr>
            <w:tcW w:w="1987"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交易份额（份）</w:t>
            </w:r>
          </w:p>
        </w:tc>
        <w:tc>
          <w:tcPr>
            <w:tcW w:w="1982"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交易金额（元）</w:t>
            </w:r>
          </w:p>
        </w:tc>
        <w:tc>
          <w:tcPr>
            <w:tcW w:w="1255" w:type="dxa"/>
            <w:vAlign w:val="center"/>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适用费率</w:t>
            </w:r>
          </w:p>
        </w:tc>
      </w:tr>
      <w:tr w:rsidR="00B52DD1">
        <w:trPr>
          <w:jc w:val="center"/>
        </w:trPr>
        <w:tc>
          <w:tcPr>
            <w:tcW w:w="0" w:type="auto"/>
            <w:vAlign w:val="center"/>
          </w:tcPr>
          <w:p w:rsidR="00B52DD1" w:rsidRDefault="00DF27B7">
            <w:pPr>
              <w:jc w:val="center"/>
            </w:pPr>
            <w:r>
              <w:rPr>
                <w:color w:val="000000"/>
                <w:sz w:val="24"/>
              </w:rPr>
              <w:t>1</w:t>
            </w:r>
          </w:p>
        </w:tc>
        <w:tc>
          <w:tcPr>
            <w:tcW w:w="0" w:type="auto"/>
            <w:vAlign w:val="center"/>
          </w:tcPr>
          <w:p w:rsidR="00B52DD1" w:rsidRDefault="00DF27B7">
            <w:pPr>
              <w:jc w:val="center"/>
            </w:pPr>
            <w:r>
              <w:rPr>
                <w:color w:val="000000"/>
                <w:sz w:val="24"/>
              </w:rPr>
              <w:t>赎回</w:t>
            </w:r>
          </w:p>
        </w:tc>
        <w:tc>
          <w:tcPr>
            <w:tcW w:w="0" w:type="auto"/>
            <w:vAlign w:val="center"/>
          </w:tcPr>
          <w:p w:rsidR="00B52DD1" w:rsidRDefault="00DF27B7">
            <w:pPr>
              <w:jc w:val="center"/>
            </w:pPr>
            <w:r>
              <w:rPr>
                <w:color w:val="000000"/>
                <w:sz w:val="24"/>
              </w:rPr>
              <w:t>2019-11-12</w:t>
            </w:r>
          </w:p>
        </w:tc>
        <w:tc>
          <w:tcPr>
            <w:tcW w:w="0" w:type="auto"/>
            <w:vAlign w:val="center"/>
          </w:tcPr>
          <w:p w:rsidR="00B52DD1" w:rsidRDefault="00DF27B7">
            <w:pPr>
              <w:jc w:val="right"/>
            </w:pPr>
            <w:r>
              <w:rPr>
                <w:color w:val="000000"/>
                <w:sz w:val="24"/>
              </w:rPr>
              <w:t>-35,000,000.00</w:t>
            </w:r>
          </w:p>
        </w:tc>
        <w:tc>
          <w:tcPr>
            <w:tcW w:w="0" w:type="auto"/>
            <w:vAlign w:val="center"/>
          </w:tcPr>
          <w:p w:rsidR="00B52DD1" w:rsidRDefault="00DF27B7">
            <w:pPr>
              <w:jc w:val="right"/>
            </w:pPr>
            <w:r>
              <w:rPr>
                <w:color w:val="000000"/>
                <w:sz w:val="24"/>
              </w:rPr>
              <w:t>-40,593,000.00</w:t>
            </w:r>
          </w:p>
        </w:tc>
        <w:tc>
          <w:tcPr>
            <w:tcW w:w="0" w:type="auto"/>
            <w:vAlign w:val="center"/>
          </w:tcPr>
          <w:p w:rsidR="00B52DD1" w:rsidRDefault="00DF27B7">
            <w:pPr>
              <w:jc w:val="center"/>
            </w:pPr>
            <w:r>
              <w:rPr>
                <w:color w:val="000000"/>
                <w:sz w:val="24"/>
              </w:rPr>
              <w:t>-</w:t>
            </w:r>
          </w:p>
        </w:tc>
      </w:tr>
      <w:tr w:rsidR="00B52DD1">
        <w:trPr>
          <w:jc w:val="center"/>
        </w:trPr>
        <w:tc>
          <w:tcPr>
            <w:tcW w:w="0" w:type="auto"/>
            <w:vAlign w:val="center"/>
          </w:tcPr>
          <w:p w:rsidR="00B52DD1" w:rsidRDefault="00DF27B7">
            <w:pPr>
              <w:jc w:val="center"/>
            </w:pPr>
            <w:r>
              <w:rPr>
                <w:color w:val="000000"/>
                <w:sz w:val="24"/>
              </w:rPr>
              <w:t>2</w:t>
            </w:r>
          </w:p>
        </w:tc>
        <w:tc>
          <w:tcPr>
            <w:tcW w:w="0" w:type="auto"/>
            <w:vAlign w:val="center"/>
          </w:tcPr>
          <w:p w:rsidR="00B52DD1" w:rsidRDefault="00DF27B7">
            <w:pPr>
              <w:jc w:val="center"/>
            </w:pPr>
            <w:r>
              <w:rPr>
                <w:color w:val="000000"/>
                <w:sz w:val="24"/>
              </w:rPr>
              <w:t>赎回</w:t>
            </w:r>
          </w:p>
        </w:tc>
        <w:tc>
          <w:tcPr>
            <w:tcW w:w="0" w:type="auto"/>
            <w:vAlign w:val="center"/>
          </w:tcPr>
          <w:p w:rsidR="00B52DD1" w:rsidRDefault="00DF27B7">
            <w:pPr>
              <w:jc w:val="center"/>
            </w:pPr>
            <w:r>
              <w:rPr>
                <w:color w:val="000000"/>
                <w:sz w:val="24"/>
              </w:rPr>
              <w:t>2019-12-12</w:t>
            </w:r>
          </w:p>
        </w:tc>
        <w:tc>
          <w:tcPr>
            <w:tcW w:w="0" w:type="auto"/>
            <w:vAlign w:val="center"/>
          </w:tcPr>
          <w:p w:rsidR="00B52DD1" w:rsidRDefault="00DF27B7">
            <w:pPr>
              <w:jc w:val="right"/>
            </w:pPr>
            <w:r>
              <w:rPr>
                <w:color w:val="000000"/>
                <w:sz w:val="24"/>
              </w:rPr>
              <w:t>-45,000,000.00</w:t>
            </w:r>
          </w:p>
        </w:tc>
        <w:tc>
          <w:tcPr>
            <w:tcW w:w="0" w:type="auto"/>
            <w:vAlign w:val="center"/>
          </w:tcPr>
          <w:p w:rsidR="00B52DD1" w:rsidRDefault="00DF27B7">
            <w:pPr>
              <w:jc w:val="right"/>
            </w:pPr>
            <w:r>
              <w:rPr>
                <w:color w:val="000000"/>
                <w:sz w:val="24"/>
              </w:rPr>
              <w:t>-52,281,000.00</w:t>
            </w:r>
          </w:p>
        </w:tc>
        <w:tc>
          <w:tcPr>
            <w:tcW w:w="0" w:type="auto"/>
            <w:vAlign w:val="center"/>
          </w:tcPr>
          <w:p w:rsidR="00B52DD1" w:rsidRDefault="00DF27B7">
            <w:pPr>
              <w:jc w:val="center"/>
            </w:pPr>
            <w:r>
              <w:rPr>
                <w:color w:val="000000"/>
                <w:sz w:val="24"/>
              </w:rPr>
              <w:t>-</w:t>
            </w:r>
          </w:p>
        </w:tc>
      </w:tr>
      <w:tr w:rsidR="00B52DD1">
        <w:trPr>
          <w:jc w:val="center"/>
        </w:trPr>
        <w:tc>
          <w:tcPr>
            <w:tcW w:w="0" w:type="auto"/>
            <w:vAlign w:val="center"/>
          </w:tcPr>
          <w:p w:rsidR="00B52DD1" w:rsidRDefault="00DF27B7">
            <w:pPr>
              <w:jc w:val="center"/>
            </w:pPr>
            <w:r>
              <w:rPr>
                <w:color w:val="000000"/>
                <w:sz w:val="24"/>
              </w:rPr>
              <w:t>3</w:t>
            </w:r>
          </w:p>
        </w:tc>
        <w:tc>
          <w:tcPr>
            <w:tcW w:w="0" w:type="auto"/>
            <w:vAlign w:val="center"/>
          </w:tcPr>
          <w:p w:rsidR="00B52DD1" w:rsidRDefault="00DF27B7">
            <w:pPr>
              <w:jc w:val="center"/>
            </w:pPr>
            <w:r>
              <w:rPr>
                <w:color w:val="000000"/>
                <w:sz w:val="24"/>
              </w:rPr>
              <w:t>赎回</w:t>
            </w:r>
          </w:p>
        </w:tc>
        <w:tc>
          <w:tcPr>
            <w:tcW w:w="0" w:type="auto"/>
            <w:vAlign w:val="center"/>
          </w:tcPr>
          <w:p w:rsidR="00B52DD1" w:rsidRDefault="00DF27B7">
            <w:pPr>
              <w:jc w:val="center"/>
            </w:pPr>
            <w:r>
              <w:rPr>
                <w:color w:val="000000"/>
                <w:sz w:val="24"/>
              </w:rPr>
              <w:t>2019-12-23</w:t>
            </w:r>
          </w:p>
        </w:tc>
        <w:tc>
          <w:tcPr>
            <w:tcW w:w="0" w:type="auto"/>
            <w:vAlign w:val="center"/>
          </w:tcPr>
          <w:p w:rsidR="00B52DD1" w:rsidRDefault="00DF27B7">
            <w:pPr>
              <w:jc w:val="right"/>
            </w:pPr>
            <w:r>
              <w:rPr>
                <w:color w:val="000000"/>
                <w:sz w:val="24"/>
              </w:rPr>
              <w:t>-25,000,000.00</w:t>
            </w:r>
          </w:p>
        </w:tc>
        <w:tc>
          <w:tcPr>
            <w:tcW w:w="0" w:type="auto"/>
            <w:vAlign w:val="center"/>
          </w:tcPr>
          <w:p w:rsidR="00B52DD1" w:rsidRDefault="00DF27B7">
            <w:pPr>
              <w:jc w:val="right"/>
            </w:pPr>
            <w:r>
              <w:rPr>
                <w:color w:val="000000"/>
                <w:sz w:val="24"/>
              </w:rPr>
              <w:t>-29,595,000.00</w:t>
            </w:r>
          </w:p>
        </w:tc>
        <w:tc>
          <w:tcPr>
            <w:tcW w:w="0" w:type="auto"/>
            <w:vAlign w:val="center"/>
          </w:tcPr>
          <w:p w:rsidR="00B52DD1" w:rsidRDefault="00DF27B7">
            <w:pPr>
              <w:jc w:val="center"/>
            </w:pPr>
            <w:r>
              <w:rPr>
                <w:color w:val="000000"/>
                <w:sz w:val="24"/>
              </w:rPr>
              <w:t>-</w:t>
            </w:r>
          </w:p>
        </w:tc>
      </w:tr>
      <w:tr w:rsidR="00B52DD1">
        <w:trPr>
          <w:jc w:val="center"/>
        </w:trPr>
        <w:tc>
          <w:tcPr>
            <w:tcW w:w="0" w:type="auto"/>
            <w:vAlign w:val="center"/>
          </w:tcPr>
          <w:p w:rsidR="00B52DD1" w:rsidRDefault="00DF27B7">
            <w:pPr>
              <w:jc w:val="center"/>
            </w:pPr>
            <w:r>
              <w:rPr>
                <w:color w:val="000000"/>
                <w:sz w:val="24"/>
              </w:rPr>
              <w:t>4</w:t>
            </w:r>
          </w:p>
        </w:tc>
        <w:tc>
          <w:tcPr>
            <w:tcW w:w="0" w:type="auto"/>
            <w:vAlign w:val="center"/>
          </w:tcPr>
          <w:p w:rsidR="00B52DD1" w:rsidRDefault="00DF27B7">
            <w:pPr>
              <w:jc w:val="center"/>
            </w:pPr>
            <w:r>
              <w:rPr>
                <w:color w:val="000000"/>
                <w:sz w:val="24"/>
              </w:rPr>
              <w:t>赎回</w:t>
            </w:r>
          </w:p>
        </w:tc>
        <w:tc>
          <w:tcPr>
            <w:tcW w:w="0" w:type="auto"/>
            <w:vAlign w:val="center"/>
          </w:tcPr>
          <w:p w:rsidR="00B52DD1" w:rsidRDefault="00DF27B7">
            <w:pPr>
              <w:jc w:val="center"/>
            </w:pPr>
            <w:r>
              <w:rPr>
                <w:color w:val="000000"/>
                <w:sz w:val="24"/>
              </w:rPr>
              <w:t>2019-12-24</w:t>
            </w:r>
          </w:p>
        </w:tc>
        <w:tc>
          <w:tcPr>
            <w:tcW w:w="0" w:type="auto"/>
            <w:vAlign w:val="center"/>
          </w:tcPr>
          <w:p w:rsidR="00B52DD1" w:rsidRDefault="00DF27B7">
            <w:pPr>
              <w:jc w:val="right"/>
            </w:pPr>
            <w:r>
              <w:rPr>
                <w:color w:val="000000"/>
                <w:sz w:val="24"/>
              </w:rPr>
              <w:t>-18,612,662.00</w:t>
            </w:r>
          </w:p>
        </w:tc>
        <w:tc>
          <w:tcPr>
            <w:tcW w:w="0" w:type="auto"/>
            <w:vAlign w:val="center"/>
          </w:tcPr>
          <w:p w:rsidR="00B52DD1" w:rsidRDefault="00DF27B7">
            <w:pPr>
              <w:jc w:val="right"/>
            </w:pPr>
            <w:r>
              <w:rPr>
                <w:color w:val="000000"/>
                <w:sz w:val="24"/>
              </w:rPr>
              <w:t>-22,100,674.86</w:t>
            </w:r>
          </w:p>
        </w:tc>
        <w:tc>
          <w:tcPr>
            <w:tcW w:w="0" w:type="auto"/>
            <w:vAlign w:val="center"/>
          </w:tcPr>
          <w:p w:rsidR="00B52DD1" w:rsidRDefault="00DF27B7">
            <w:pPr>
              <w:jc w:val="center"/>
            </w:pPr>
            <w:r>
              <w:rPr>
                <w:color w:val="000000"/>
                <w:sz w:val="24"/>
              </w:rPr>
              <w:t>-</w:t>
            </w:r>
          </w:p>
        </w:tc>
      </w:tr>
      <w:tr w:rsidR="00750D48" w:rsidTr="005602F3">
        <w:trPr>
          <w:trHeight w:val="340"/>
          <w:jc w:val="center"/>
        </w:trPr>
        <w:tc>
          <w:tcPr>
            <w:tcW w:w="1024" w:type="dxa"/>
            <w:vAlign w:val="center"/>
          </w:tcPr>
          <w:p w:rsidR="00750D48" w:rsidRPr="00B227EA" w:rsidRDefault="00750D48">
            <w:pPr>
              <w:pStyle w:val="ad"/>
              <w:adjustRightInd w:val="0"/>
              <w:snapToGrid w:val="0"/>
              <w:spacing w:line="360" w:lineRule="exact"/>
              <w:jc w:val="center"/>
              <w:rPr>
                <w:color w:val="000000"/>
              </w:rPr>
            </w:pPr>
            <w:r w:rsidRPr="00B227EA">
              <w:rPr>
                <w:color w:val="000000"/>
              </w:rPr>
              <w:t>合计</w:t>
            </w:r>
          </w:p>
        </w:tc>
        <w:tc>
          <w:tcPr>
            <w:tcW w:w="1560" w:type="dxa"/>
          </w:tcPr>
          <w:p w:rsidR="00750D48" w:rsidRPr="00B227EA" w:rsidRDefault="00750D48">
            <w:pPr>
              <w:adjustRightInd w:val="0"/>
              <w:snapToGrid w:val="0"/>
              <w:spacing w:line="360" w:lineRule="exact"/>
              <w:jc w:val="right"/>
              <w:rPr>
                <w:color w:val="0000FF"/>
                <w:kern w:val="0"/>
                <w:sz w:val="18"/>
                <w:szCs w:val="24"/>
              </w:rPr>
            </w:pPr>
          </w:p>
        </w:tc>
        <w:tc>
          <w:tcPr>
            <w:tcW w:w="1417" w:type="dxa"/>
          </w:tcPr>
          <w:p w:rsidR="00750D48" w:rsidRPr="00B227EA" w:rsidRDefault="00750D48">
            <w:pPr>
              <w:adjustRightInd w:val="0"/>
              <w:snapToGrid w:val="0"/>
              <w:spacing w:line="360" w:lineRule="exact"/>
              <w:jc w:val="right"/>
              <w:rPr>
                <w:color w:val="0000FF"/>
                <w:kern w:val="0"/>
                <w:sz w:val="18"/>
                <w:szCs w:val="24"/>
              </w:rPr>
            </w:pPr>
          </w:p>
        </w:tc>
        <w:tc>
          <w:tcPr>
            <w:tcW w:w="1987" w:type="dxa"/>
          </w:tcPr>
          <w:p w:rsidR="00750D48" w:rsidRPr="00B227EA" w:rsidRDefault="00750D48">
            <w:pPr>
              <w:adjustRightInd w:val="0"/>
              <w:snapToGrid w:val="0"/>
              <w:spacing w:line="360" w:lineRule="exact"/>
              <w:jc w:val="right"/>
              <w:rPr>
                <w:color w:val="000000"/>
                <w:sz w:val="24"/>
                <w:szCs w:val="24"/>
              </w:rPr>
            </w:pPr>
            <w:r w:rsidRPr="00B227EA">
              <w:rPr>
                <w:color w:val="000000"/>
                <w:sz w:val="24"/>
              </w:rPr>
              <w:t>-123,612,662.00</w:t>
            </w:r>
          </w:p>
        </w:tc>
        <w:tc>
          <w:tcPr>
            <w:tcW w:w="1982" w:type="dxa"/>
          </w:tcPr>
          <w:p w:rsidR="00750D48" w:rsidRPr="00B227EA" w:rsidRDefault="00750D48">
            <w:pPr>
              <w:adjustRightInd w:val="0"/>
              <w:snapToGrid w:val="0"/>
              <w:spacing w:line="360" w:lineRule="exact"/>
              <w:jc w:val="right"/>
              <w:rPr>
                <w:color w:val="000000"/>
                <w:sz w:val="24"/>
                <w:szCs w:val="24"/>
              </w:rPr>
            </w:pPr>
            <w:r w:rsidRPr="00B227EA">
              <w:rPr>
                <w:color w:val="000000"/>
                <w:sz w:val="24"/>
              </w:rPr>
              <w:t>-144,569,674.86</w:t>
            </w:r>
          </w:p>
        </w:tc>
        <w:tc>
          <w:tcPr>
            <w:tcW w:w="1255" w:type="dxa"/>
            <w:vAlign w:val="center"/>
          </w:tcPr>
          <w:p w:rsidR="00750D48" w:rsidRPr="00B227EA" w:rsidRDefault="00750D48">
            <w:pPr>
              <w:adjustRightInd w:val="0"/>
              <w:snapToGrid w:val="0"/>
              <w:spacing w:line="360" w:lineRule="exact"/>
              <w:jc w:val="right"/>
              <w:rPr>
                <w:color w:val="0000FF"/>
                <w:kern w:val="0"/>
                <w:sz w:val="18"/>
                <w:szCs w:val="24"/>
              </w:rPr>
            </w:pP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B52DD1" w:rsidRDefault="00DF27B7">
      <w:pPr>
        <w:spacing w:line="360" w:lineRule="auto"/>
        <w:ind w:firstLineChars="200" w:firstLine="480"/>
        <w:rPr>
          <w:color w:val="000000"/>
          <w:sz w:val="24"/>
          <w:szCs w:val="24"/>
        </w:rPr>
      </w:pPr>
      <w:r>
        <w:rPr>
          <w:color w:val="000000"/>
          <w:sz w:val="24"/>
          <w:szCs w:val="24"/>
        </w:rPr>
        <w:t>1.</w:t>
      </w:r>
      <w:r>
        <w:rPr>
          <w:color w:val="000000"/>
          <w:sz w:val="24"/>
          <w:szCs w:val="24"/>
        </w:rPr>
        <w:t>中国证监会准予科瑞证券投资基金变更注册的文件；</w:t>
      </w:r>
    </w:p>
    <w:p w:rsidR="00B52DD1" w:rsidRDefault="00DF27B7">
      <w:pPr>
        <w:spacing w:line="360" w:lineRule="auto"/>
        <w:ind w:firstLineChars="200" w:firstLine="480"/>
        <w:rPr>
          <w:color w:val="000000"/>
          <w:sz w:val="24"/>
          <w:szCs w:val="24"/>
        </w:rPr>
      </w:pPr>
      <w:r>
        <w:rPr>
          <w:color w:val="000000"/>
          <w:sz w:val="24"/>
          <w:szCs w:val="24"/>
        </w:rPr>
        <w:t>2.</w:t>
      </w:r>
      <w:r>
        <w:rPr>
          <w:color w:val="000000"/>
          <w:sz w:val="24"/>
          <w:szCs w:val="24"/>
        </w:rPr>
        <w:t>关于科瑞证券投资基金基金份额持有人大会表决结果暨决议生效的公告；</w:t>
      </w:r>
    </w:p>
    <w:p w:rsidR="00B52DD1" w:rsidRDefault="00DF27B7">
      <w:pPr>
        <w:spacing w:line="360" w:lineRule="auto"/>
        <w:ind w:firstLineChars="200" w:firstLine="480"/>
        <w:rPr>
          <w:color w:val="000000"/>
          <w:sz w:val="24"/>
          <w:szCs w:val="24"/>
        </w:rPr>
      </w:pPr>
      <w:r>
        <w:rPr>
          <w:color w:val="000000"/>
          <w:sz w:val="24"/>
          <w:szCs w:val="24"/>
        </w:rPr>
        <w:t>3.</w:t>
      </w:r>
      <w:r>
        <w:rPr>
          <w:color w:val="000000"/>
          <w:sz w:val="24"/>
          <w:szCs w:val="24"/>
        </w:rPr>
        <w:t>《易方达科瑞灵活配置混合型证券投资基金基金合同》；</w:t>
      </w:r>
    </w:p>
    <w:p w:rsidR="00B52DD1" w:rsidRDefault="00DF27B7">
      <w:pPr>
        <w:spacing w:line="360" w:lineRule="auto"/>
        <w:ind w:firstLineChars="200" w:firstLine="480"/>
        <w:rPr>
          <w:color w:val="000000"/>
          <w:sz w:val="24"/>
          <w:szCs w:val="24"/>
        </w:rPr>
      </w:pPr>
      <w:r>
        <w:rPr>
          <w:color w:val="000000"/>
          <w:sz w:val="24"/>
          <w:szCs w:val="24"/>
        </w:rPr>
        <w:t>4.</w:t>
      </w:r>
      <w:r>
        <w:rPr>
          <w:color w:val="000000"/>
          <w:sz w:val="24"/>
          <w:szCs w:val="24"/>
        </w:rPr>
        <w:t>《易方达科瑞灵活配置混合型证券投资基金托管协议》；</w:t>
      </w:r>
    </w:p>
    <w:p w:rsidR="00B52DD1" w:rsidRDefault="00DF27B7">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DF27B7">
      <w:rPr>
        <w:rStyle w:val="a7"/>
        <w:noProof/>
      </w:rPr>
      <w:t>1</w:t>
    </w:r>
    <w:r>
      <w:rPr>
        <w:rStyle w:val="a7"/>
      </w:rPr>
      <w:fldChar w:fldCharType="end"/>
    </w:r>
    <w:r>
      <w:rPr>
        <w:rStyle w:val="a7"/>
        <w:rFonts w:hint="eastAsia"/>
      </w:rPr>
      <w:t>页共</w:t>
    </w:r>
    <w:r w:rsidR="00DF27B7">
      <w:fldChar w:fldCharType="begin"/>
    </w:r>
    <w:r w:rsidR="00DF27B7">
      <w:instrText xml:space="preserve"> NUMPAGES  \* Arabic  \* MERGEFORMAT </w:instrText>
    </w:r>
    <w:r w:rsidR="00DF27B7">
      <w:fldChar w:fldCharType="separate"/>
    </w:r>
    <w:r w:rsidR="00DF27B7" w:rsidRPr="00DF27B7">
      <w:rPr>
        <w:rStyle w:val="a7"/>
        <w:noProof/>
      </w:rPr>
      <w:t>1</w:t>
    </w:r>
    <w:r w:rsidR="00DF27B7">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DF27B7">
      <w:rPr>
        <w:rStyle w:val="a7"/>
        <w:noProof/>
      </w:rPr>
      <w:t>2</w:t>
    </w:r>
    <w:r>
      <w:rPr>
        <w:rStyle w:val="a7"/>
      </w:rPr>
      <w:fldChar w:fldCharType="end"/>
    </w:r>
    <w:r>
      <w:rPr>
        <w:rStyle w:val="a7"/>
        <w:rFonts w:hint="eastAsia"/>
      </w:rPr>
      <w:t>页共</w:t>
    </w:r>
    <w:fldSimple w:instr=" NUMPAGES  \* Arabic  \* MERGEFORMAT ">
      <w:r w:rsidR="00DF27B7" w:rsidRPr="00DF27B7">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易方达科瑞灵活配置混合型证券投资基金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2DD1"/>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F27B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8AA5-5FB4-4CD7-A3E0-D9973D48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6042</Characters>
  <Application>Microsoft Office Word</Application>
  <DocSecurity>4</DocSecurity>
  <Lines>50</Lines>
  <Paragraphs>14</Paragraphs>
  <ScaleCrop>false</ScaleCrop>
  <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2020-01-13T02:43:00Z</dcterms:created>
  <dcterms:modified xsi:type="dcterms:W3CDTF">2020-01-13T02:43:00Z</dcterms:modified>
</cp:coreProperties>
</file>