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易方达瑞景灵活配置混合型证券投资基金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中国邮政储蓄银行股份有限公司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E57889" w:rsidRDefault="00F7094B">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57889" w:rsidRDefault="00F7094B">
      <w:pPr>
        <w:spacing w:line="360" w:lineRule="auto"/>
        <w:ind w:firstLineChars="200" w:firstLine="480"/>
        <w:rPr>
          <w:color w:val="000000"/>
          <w:sz w:val="24"/>
          <w:szCs w:val="24"/>
        </w:rPr>
      </w:pPr>
      <w:r>
        <w:rPr>
          <w:color w:val="000000"/>
          <w:sz w:val="24"/>
          <w:szCs w:val="24"/>
        </w:rPr>
        <w:t>基金托管人中国邮政储蓄银行股份有限公司根据本基金合同规定，于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57889" w:rsidRDefault="00F7094B">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w:t>
      </w:r>
      <w:r>
        <w:rPr>
          <w:color w:val="000000"/>
          <w:sz w:val="24"/>
          <w:szCs w:val="24"/>
        </w:rPr>
        <w:t>利。</w:t>
      </w:r>
      <w:r>
        <w:rPr>
          <w:color w:val="000000"/>
          <w:sz w:val="24"/>
          <w:szCs w:val="24"/>
        </w:rPr>
        <w:t xml:space="preserve"> </w:t>
      </w:r>
    </w:p>
    <w:p w:rsidR="00E57889" w:rsidRDefault="00F7094B">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57889" w:rsidRDefault="00F7094B">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易方达瑞景混合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001433</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001433</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2015</w:t>
            </w:r>
            <w:r w:rsidRPr="00232B03">
              <w:rPr>
                <w:color w:val="000000"/>
                <w:kern w:val="0"/>
                <w:sz w:val="24"/>
                <w:szCs w:val="24"/>
              </w:rPr>
              <w:t>年</w:t>
            </w:r>
            <w:r w:rsidRPr="00232B03">
              <w:rPr>
                <w:color w:val="000000"/>
                <w:kern w:val="0"/>
                <w:sz w:val="24"/>
                <w:szCs w:val="24"/>
              </w:rPr>
              <w:t>6</w:t>
            </w:r>
            <w:r w:rsidRPr="00232B03">
              <w:rPr>
                <w:color w:val="000000"/>
                <w:kern w:val="0"/>
                <w:sz w:val="24"/>
                <w:szCs w:val="24"/>
              </w:rPr>
              <w:t>月</w:t>
            </w:r>
            <w:r w:rsidRPr="00232B03">
              <w:rPr>
                <w:color w:val="000000"/>
                <w:kern w:val="0"/>
                <w:sz w:val="24"/>
                <w:szCs w:val="24"/>
              </w:rPr>
              <w:t>30</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313,320,290.37</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本基金在控制风险的前提下，追求基金资产的稳健增值。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本基金通过定量与定性相结合的宏观及市场分析，确定组合中股票、债券、货币市场工具等资产类别的配置比例，严格遵守低估值的股票投资逻辑，以绝对收益为目标，力争获得稳健、持续的投资收益。</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一年期人民币定期存款利率（税后）</w:t>
            </w:r>
            <w:r w:rsidRPr="00232B03">
              <w:rPr>
                <w:color w:val="000000"/>
                <w:kern w:val="0"/>
                <w:sz w:val="24"/>
                <w:szCs w:val="24"/>
              </w:rPr>
              <w:t>+2%</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本基金为混合型基金，理论上其预期风险与预期收益水平低于股票型基金，高于债券型基金和货币市场基金。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中国邮政储蓄银行股份有限公司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6,659,364.30</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11,814,082.12</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0.0361</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419,563,265.74</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1.339</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E57889" w:rsidRDefault="00F7094B">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E57889">
        <w:tc>
          <w:tcPr>
            <w:tcW w:w="0" w:type="auto"/>
            <w:vAlign w:val="center"/>
          </w:tcPr>
          <w:p w:rsidR="00E57889" w:rsidRDefault="00F7094B">
            <w:pPr>
              <w:jc w:val="left"/>
            </w:pPr>
            <w:r>
              <w:rPr>
                <w:color w:val="000000"/>
                <w:kern w:val="0"/>
                <w:sz w:val="24"/>
                <w:szCs w:val="24"/>
              </w:rPr>
              <w:t>过去三个月</w:t>
            </w:r>
          </w:p>
        </w:tc>
        <w:tc>
          <w:tcPr>
            <w:tcW w:w="0" w:type="auto"/>
            <w:vAlign w:val="center"/>
          </w:tcPr>
          <w:p w:rsidR="00E57889" w:rsidRDefault="00F7094B">
            <w:pPr>
              <w:jc w:val="center"/>
            </w:pPr>
            <w:r>
              <w:rPr>
                <w:color w:val="000000"/>
                <w:kern w:val="0"/>
                <w:sz w:val="24"/>
                <w:szCs w:val="24"/>
              </w:rPr>
              <w:t>2.84%</w:t>
            </w:r>
          </w:p>
        </w:tc>
        <w:tc>
          <w:tcPr>
            <w:tcW w:w="0" w:type="auto"/>
            <w:vAlign w:val="center"/>
          </w:tcPr>
          <w:p w:rsidR="00E57889" w:rsidRDefault="00F7094B">
            <w:pPr>
              <w:jc w:val="center"/>
            </w:pPr>
            <w:r>
              <w:rPr>
                <w:color w:val="000000"/>
                <w:kern w:val="0"/>
                <w:sz w:val="24"/>
                <w:szCs w:val="24"/>
              </w:rPr>
              <w:t>0.12%</w:t>
            </w:r>
          </w:p>
        </w:tc>
        <w:tc>
          <w:tcPr>
            <w:tcW w:w="0" w:type="auto"/>
            <w:vAlign w:val="center"/>
          </w:tcPr>
          <w:p w:rsidR="00E57889" w:rsidRDefault="00F7094B">
            <w:pPr>
              <w:jc w:val="center"/>
            </w:pPr>
            <w:r>
              <w:rPr>
                <w:color w:val="000000"/>
                <w:kern w:val="0"/>
                <w:sz w:val="24"/>
                <w:szCs w:val="24"/>
              </w:rPr>
              <w:t>0.89%</w:t>
            </w:r>
          </w:p>
        </w:tc>
        <w:tc>
          <w:tcPr>
            <w:tcW w:w="0" w:type="auto"/>
            <w:vAlign w:val="center"/>
          </w:tcPr>
          <w:p w:rsidR="00E57889" w:rsidRDefault="00F7094B">
            <w:pPr>
              <w:jc w:val="center"/>
            </w:pPr>
            <w:r>
              <w:rPr>
                <w:color w:val="000000"/>
                <w:kern w:val="0"/>
                <w:sz w:val="24"/>
                <w:szCs w:val="24"/>
              </w:rPr>
              <w:t>0.01%</w:t>
            </w:r>
          </w:p>
        </w:tc>
        <w:tc>
          <w:tcPr>
            <w:tcW w:w="0" w:type="auto"/>
            <w:vAlign w:val="center"/>
          </w:tcPr>
          <w:p w:rsidR="00E57889" w:rsidRDefault="00F7094B">
            <w:pPr>
              <w:jc w:val="center"/>
            </w:pPr>
            <w:r>
              <w:rPr>
                <w:color w:val="000000"/>
                <w:kern w:val="0"/>
                <w:sz w:val="24"/>
                <w:szCs w:val="24"/>
              </w:rPr>
              <w:t>1.95%</w:t>
            </w:r>
          </w:p>
        </w:tc>
        <w:tc>
          <w:tcPr>
            <w:tcW w:w="0" w:type="auto"/>
            <w:vAlign w:val="center"/>
          </w:tcPr>
          <w:p w:rsidR="00E57889" w:rsidRDefault="00F7094B">
            <w:pPr>
              <w:jc w:val="center"/>
            </w:pPr>
            <w:r>
              <w:rPr>
                <w:color w:val="000000"/>
                <w:kern w:val="0"/>
                <w:sz w:val="24"/>
                <w:szCs w:val="24"/>
              </w:rPr>
              <w:t>0.11%</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易方达瑞景灵活配置混合型证券投资基金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2015</w:t>
      </w:r>
      <w:r w:rsidRPr="0074694E">
        <w:rPr>
          <w:rFonts w:ascii="Times New Roman" w:hAnsi="Times New Roman"/>
          <w:sz w:val="24"/>
          <w:szCs w:val="24"/>
        </w:rPr>
        <w:t>年</w:t>
      </w:r>
      <w:r w:rsidRPr="0074694E">
        <w:rPr>
          <w:rFonts w:ascii="Times New Roman" w:hAnsi="Times New Roman"/>
          <w:sz w:val="24"/>
          <w:szCs w:val="24"/>
        </w:rPr>
        <w:t>6</w:t>
      </w:r>
      <w:r w:rsidRPr="0074694E">
        <w:rPr>
          <w:rFonts w:ascii="Times New Roman" w:hAnsi="Times New Roman"/>
          <w:sz w:val="24"/>
          <w:szCs w:val="24"/>
        </w:rPr>
        <w:t>月</w:t>
      </w:r>
      <w:r w:rsidRPr="0074694E">
        <w:rPr>
          <w:rFonts w:ascii="Times New Roman" w:hAnsi="Times New Roman"/>
          <w:sz w:val="24"/>
          <w:szCs w:val="24"/>
        </w:rPr>
        <w:t>30</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F7094B"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33.90%</w:t>
      </w:r>
      <w:r w:rsidRPr="006C56AA">
        <w:rPr>
          <w:color w:val="000000"/>
          <w:sz w:val="24"/>
          <w:szCs w:val="24"/>
        </w:rPr>
        <w:t>，同期业绩比较基准收益率为</w:t>
      </w:r>
      <w:r w:rsidRPr="006C56AA">
        <w:rPr>
          <w:color w:val="000000"/>
          <w:sz w:val="24"/>
          <w:szCs w:val="24"/>
        </w:rPr>
        <w:t>16.12%</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E57889">
        <w:tc>
          <w:tcPr>
            <w:tcW w:w="0" w:type="auto"/>
            <w:vAlign w:val="center"/>
          </w:tcPr>
          <w:p w:rsidR="00E57889" w:rsidRDefault="00F7094B">
            <w:pPr>
              <w:jc w:val="center"/>
            </w:pPr>
            <w:r>
              <w:rPr>
                <w:color w:val="000000"/>
                <w:sz w:val="24"/>
              </w:rPr>
              <w:t>韩阅川</w:t>
            </w:r>
          </w:p>
        </w:tc>
        <w:tc>
          <w:tcPr>
            <w:tcW w:w="0" w:type="auto"/>
            <w:vAlign w:val="center"/>
          </w:tcPr>
          <w:p w:rsidR="00E57889" w:rsidRDefault="00F7094B">
            <w:pPr>
              <w:jc w:val="center"/>
            </w:pPr>
            <w:r>
              <w:rPr>
                <w:color w:val="000000"/>
                <w:sz w:val="24"/>
              </w:rPr>
              <w:t>本基金的基金经理、易方达裕鑫债券型证券投资基金的基金经理、易方达新鑫灵活配置混合型证券投资基金的基金经理、易方达新益灵活配置混合型证券投资基金的基金经理、易方达新享灵活配置混合型证券投资基金的基金经理、易方达新利灵活配置混合型证券投资基金的基金经理、易方达瑞祺灵活配置混合型证券投资基金的基金经理、易方达瑞智灵活配置混合型证券投资基金的基金经理、易方达瑞选灵活配置混合型证券投资基金的基金经理、易方达瑞兴灵活配置混合型证券投资基金的基金经理、易方达瑞祥灵活配置混合型证券投资基金的基金经理、易方达瑞信灵活配置混合</w:t>
            </w:r>
            <w:r>
              <w:rPr>
                <w:color w:val="000000"/>
                <w:sz w:val="24"/>
              </w:rPr>
              <w:t>型证券投资基金的基金经理助理、易方达新收益灵活配置混合型证券投资基金的基金经理助理、易方达瑞和灵活配置混合型证券投资基金的基金经理助理</w:t>
            </w:r>
          </w:p>
        </w:tc>
        <w:tc>
          <w:tcPr>
            <w:tcW w:w="0" w:type="auto"/>
            <w:vAlign w:val="center"/>
          </w:tcPr>
          <w:p w:rsidR="00E57889" w:rsidRDefault="00F7094B">
            <w:pPr>
              <w:jc w:val="center"/>
            </w:pPr>
            <w:r>
              <w:rPr>
                <w:color w:val="000000"/>
                <w:sz w:val="24"/>
              </w:rPr>
              <w:t>2019-06-26</w:t>
            </w:r>
          </w:p>
        </w:tc>
        <w:tc>
          <w:tcPr>
            <w:tcW w:w="0" w:type="auto"/>
            <w:vAlign w:val="center"/>
          </w:tcPr>
          <w:p w:rsidR="00E57889" w:rsidRDefault="00F7094B">
            <w:pPr>
              <w:jc w:val="center"/>
            </w:pPr>
            <w:r>
              <w:rPr>
                <w:color w:val="000000"/>
                <w:sz w:val="24"/>
              </w:rPr>
              <w:t>-</w:t>
            </w:r>
          </w:p>
        </w:tc>
        <w:tc>
          <w:tcPr>
            <w:tcW w:w="0" w:type="auto"/>
            <w:vAlign w:val="center"/>
          </w:tcPr>
          <w:p w:rsidR="00E57889" w:rsidRDefault="00F7094B">
            <w:pPr>
              <w:jc w:val="center"/>
            </w:pPr>
            <w:r>
              <w:rPr>
                <w:color w:val="000000"/>
                <w:sz w:val="24"/>
              </w:rPr>
              <w:t>8</w:t>
            </w:r>
            <w:r>
              <w:rPr>
                <w:color w:val="000000"/>
                <w:sz w:val="24"/>
              </w:rPr>
              <w:t>年</w:t>
            </w:r>
          </w:p>
        </w:tc>
        <w:tc>
          <w:tcPr>
            <w:tcW w:w="0" w:type="auto"/>
            <w:vAlign w:val="center"/>
          </w:tcPr>
          <w:p w:rsidR="00E57889" w:rsidRDefault="00F7094B">
            <w:r>
              <w:rPr>
                <w:color w:val="000000"/>
                <w:sz w:val="24"/>
              </w:rPr>
              <w:t>硕士研究生，具有基金从业资格。曾任嘉实基金管理有限公司固定收益部研究员、投资经理，易方达基金管理有限公司易方达新享灵活配置混合型证券投资基金基金经理助理、易方达新利灵活配置混合型证券投资基金基金经理助理、易方达瑞景灵活配置混合型证券投资基金基金经理助理、易方达瑞兴灵活配置混合型证券投资基金基金经理助理、易方达瑞祥灵活配置混合型证券投资基金基金经理助理、易方达瑞智灵活配置混合型证券投资基金基金经理助理、易方达新鑫灵活配置混合型证券投资基金基金经理助理、易方达瑞选灵活配置混合型证券投资基金基金经理助理、易方达新</w:t>
            </w:r>
            <w:r>
              <w:rPr>
                <w:color w:val="000000"/>
                <w:sz w:val="24"/>
              </w:rPr>
              <w:t>益灵活配置混合型证券投资基金基金经理助理、易方达裕鑫债券型证券投资基金基金经理助理。</w:t>
            </w:r>
          </w:p>
        </w:tc>
      </w:tr>
    </w:tbl>
    <w:p w:rsidR="00E57889" w:rsidRDefault="00F7094B">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E57889" w:rsidRDefault="00F7094B">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E57889" w:rsidRDefault="00F7094B">
      <w:pPr>
        <w:spacing w:line="360" w:lineRule="auto"/>
        <w:ind w:firstLineChars="200" w:firstLine="480"/>
        <w:rPr>
          <w:color w:val="000000"/>
          <w:sz w:val="24"/>
          <w:szCs w:val="24"/>
        </w:rPr>
      </w:pPr>
      <w:r>
        <w:rPr>
          <w:color w:val="000000"/>
          <w:sz w:val="24"/>
          <w:szCs w:val="24"/>
        </w:rPr>
        <w:t>2019</w:t>
      </w:r>
      <w:r>
        <w:rPr>
          <w:color w:val="000000"/>
          <w:sz w:val="24"/>
          <w:szCs w:val="24"/>
        </w:rPr>
        <w:t>年</w:t>
      </w:r>
      <w:r>
        <w:rPr>
          <w:color w:val="000000"/>
          <w:sz w:val="24"/>
          <w:szCs w:val="24"/>
        </w:rPr>
        <w:t>4</w:t>
      </w:r>
      <w:r>
        <w:rPr>
          <w:color w:val="000000"/>
          <w:sz w:val="24"/>
          <w:szCs w:val="24"/>
        </w:rPr>
        <w:t>季度，利率债收益率呈倒</w:t>
      </w:r>
      <w:r>
        <w:rPr>
          <w:color w:val="000000"/>
          <w:sz w:val="24"/>
          <w:szCs w:val="24"/>
        </w:rPr>
        <w:t>“V”</w:t>
      </w:r>
      <w:r>
        <w:rPr>
          <w:color w:val="000000"/>
          <w:sz w:val="24"/>
          <w:szCs w:val="24"/>
        </w:rPr>
        <w:t>型走势，</w:t>
      </w:r>
      <w:r>
        <w:rPr>
          <w:color w:val="000000"/>
          <w:sz w:val="24"/>
          <w:szCs w:val="24"/>
        </w:rPr>
        <w:t>10</w:t>
      </w:r>
      <w:r>
        <w:rPr>
          <w:color w:val="000000"/>
          <w:sz w:val="24"/>
          <w:szCs w:val="24"/>
        </w:rPr>
        <w:t>月震荡上行、</w:t>
      </w:r>
      <w:r>
        <w:rPr>
          <w:color w:val="000000"/>
          <w:sz w:val="24"/>
          <w:szCs w:val="24"/>
        </w:rPr>
        <w:t>11</w:t>
      </w:r>
      <w:r>
        <w:rPr>
          <w:color w:val="000000"/>
          <w:sz w:val="24"/>
          <w:szCs w:val="24"/>
        </w:rPr>
        <w:t>月至</w:t>
      </w:r>
      <w:r>
        <w:rPr>
          <w:color w:val="000000"/>
          <w:sz w:val="24"/>
          <w:szCs w:val="24"/>
        </w:rPr>
        <w:t>12</w:t>
      </w:r>
      <w:r>
        <w:rPr>
          <w:color w:val="000000"/>
          <w:sz w:val="24"/>
          <w:szCs w:val="24"/>
        </w:rPr>
        <w:t>月震荡下行，通胀、货币宽松、中美贸易谈判等是核心驱动因素。季度初公布的</w:t>
      </w:r>
      <w:r>
        <w:rPr>
          <w:color w:val="000000"/>
          <w:sz w:val="24"/>
          <w:szCs w:val="24"/>
        </w:rPr>
        <w:t>9</w:t>
      </w:r>
      <w:r>
        <w:rPr>
          <w:color w:val="000000"/>
          <w:sz w:val="24"/>
          <w:szCs w:val="24"/>
        </w:rPr>
        <w:t>月</w:t>
      </w:r>
      <w:r>
        <w:rPr>
          <w:color w:val="000000"/>
          <w:sz w:val="24"/>
          <w:szCs w:val="24"/>
        </w:rPr>
        <w:t>CPI</w:t>
      </w:r>
      <w:r>
        <w:rPr>
          <w:color w:val="000000"/>
          <w:sz w:val="24"/>
          <w:szCs w:val="24"/>
        </w:rPr>
        <w:t>直接破</w:t>
      </w:r>
      <w:r>
        <w:rPr>
          <w:color w:val="000000"/>
          <w:sz w:val="24"/>
          <w:szCs w:val="24"/>
        </w:rPr>
        <w:t>“3”</w:t>
      </w:r>
      <w:r>
        <w:rPr>
          <w:color w:val="000000"/>
          <w:sz w:val="24"/>
          <w:szCs w:val="24"/>
        </w:rPr>
        <w:t>和猪价大幅上涨，推升通胀预期，导致长端收益率大幅上行。随后</w:t>
      </w:r>
      <w:r>
        <w:rPr>
          <w:color w:val="000000"/>
          <w:sz w:val="24"/>
          <w:szCs w:val="24"/>
        </w:rPr>
        <w:t>MLF</w:t>
      </w:r>
      <w:r>
        <w:rPr>
          <w:color w:val="000000"/>
          <w:sz w:val="24"/>
          <w:szCs w:val="24"/>
        </w:rPr>
        <w:t>、</w:t>
      </w:r>
      <w:r>
        <w:rPr>
          <w:color w:val="000000"/>
          <w:sz w:val="24"/>
          <w:szCs w:val="24"/>
        </w:rPr>
        <w:t>OMO</w:t>
      </w:r>
      <w:r>
        <w:rPr>
          <w:color w:val="000000"/>
          <w:sz w:val="24"/>
          <w:szCs w:val="24"/>
        </w:rPr>
        <w:t>、国库招标利率下降和信贷、社融等经济指标走弱，推动长端收益率震荡下行。</w:t>
      </w:r>
      <w:r>
        <w:rPr>
          <w:color w:val="000000"/>
          <w:sz w:val="24"/>
          <w:szCs w:val="24"/>
        </w:rPr>
        <w:t>11</w:t>
      </w:r>
      <w:r>
        <w:rPr>
          <w:color w:val="000000"/>
          <w:sz w:val="24"/>
          <w:szCs w:val="24"/>
        </w:rPr>
        <w:t>月下旬到</w:t>
      </w:r>
      <w:r>
        <w:rPr>
          <w:color w:val="000000"/>
          <w:sz w:val="24"/>
          <w:szCs w:val="24"/>
        </w:rPr>
        <w:t>12</w:t>
      </w:r>
      <w:r>
        <w:rPr>
          <w:color w:val="000000"/>
          <w:sz w:val="24"/>
          <w:szCs w:val="24"/>
        </w:rPr>
        <w:t>月中旬，长端利率债基本处于</w:t>
      </w:r>
      <w:r>
        <w:rPr>
          <w:color w:val="000000"/>
          <w:sz w:val="24"/>
          <w:szCs w:val="24"/>
        </w:rPr>
        <w:t>“</w:t>
      </w:r>
      <w:r>
        <w:rPr>
          <w:color w:val="000000"/>
          <w:sz w:val="24"/>
          <w:szCs w:val="24"/>
        </w:rPr>
        <w:t>横盘</w:t>
      </w:r>
      <w:r>
        <w:rPr>
          <w:color w:val="000000"/>
          <w:sz w:val="24"/>
          <w:szCs w:val="24"/>
        </w:rPr>
        <w:t>”</w:t>
      </w:r>
      <w:r>
        <w:rPr>
          <w:color w:val="000000"/>
          <w:sz w:val="24"/>
          <w:szCs w:val="24"/>
        </w:rPr>
        <w:t>状态，中美贸易谈判、部分经济指标韧性、资金面变化等因素交织，导致长端收益率窄幅波动。年底期间，资金面超预期宽松、降准预期，及机构</w:t>
      </w:r>
      <w:r>
        <w:rPr>
          <w:color w:val="000000"/>
          <w:sz w:val="24"/>
          <w:szCs w:val="24"/>
        </w:rPr>
        <w:t>“</w:t>
      </w:r>
      <w:r>
        <w:rPr>
          <w:color w:val="000000"/>
          <w:sz w:val="24"/>
          <w:szCs w:val="24"/>
        </w:rPr>
        <w:t>抢跑</w:t>
      </w:r>
      <w:r>
        <w:rPr>
          <w:color w:val="000000"/>
          <w:sz w:val="24"/>
          <w:szCs w:val="24"/>
        </w:rPr>
        <w:t>”</w:t>
      </w:r>
      <w:r>
        <w:rPr>
          <w:color w:val="000000"/>
          <w:sz w:val="24"/>
          <w:szCs w:val="24"/>
        </w:rPr>
        <w:t>行为等，推动长端</w:t>
      </w:r>
      <w:r>
        <w:rPr>
          <w:color w:val="000000"/>
          <w:sz w:val="24"/>
          <w:szCs w:val="24"/>
        </w:rPr>
        <w:t>收益率震荡下行。整个季度来看，长端利率略有上行但幅度不大。信用债方面，走势与利率债相似，信用利差先收窄后走廓。总体上，信用债中长端收益率下行，短端收益率上行，城投债收益率多数下行。</w:t>
      </w:r>
    </w:p>
    <w:p w:rsidR="00E57889" w:rsidRDefault="00F7094B">
      <w:pPr>
        <w:spacing w:line="360" w:lineRule="auto"/>
        <w:ind w:firstLineChars="200" w:firstLine="480"/>
        <w:rPr>
          <w:color w:val="000000"/>
          <w:sz w:val="24"/>
          <w:szCs w:val="24"/>
        </w:rPr>
      </w:pPr>
      <w:r>
        <w:rPr>
          <w:color w:val="000000"/>
          <w:sz w:val="24"/>
          <w:szCs w:val="24"/>
        </w:rPr>
        <w:t>权益市场方面，</w:t>
      </w:r>
      <w:r>
        <w:rPr>
          <w:color w:val="000000"/>
          <w:sz w:val="24"/>
          <w:szCs w:val="24"/>
        </w:rPr>
        <w:t>4</w:t>
      </w:r>
      <w:r>
        <w:rPr>
          <w:color w:val="000000"/>
          <w:sz w:val="24"/>
          <w:szCs w:val="24"/>
        </w:rPr>
        <w:t>季度市场的低估值风格显著占优，科技板块表现也持续较好。整体走势来看，市场先横盘调整、后发力反弹。</w:t>
      </w:r>
      <w:r>
        <w:rPr>
          <w:color w:val="000000"/>
          <w:sz w:val="24"/>
          <w:szCs w:val="24"/>
        </w:rPr>
        <w:t>10</w:t>
      </w:r>
      <w:r>
        <w:rPr>
          <w:color w:val="000000"/>
          <w:sz w:val="24"/>
          <w:szCs w:val="24"/>
        </w:rPr>
        <w:t>月份和</w:t>
      </w:r>
      <w:r>
        <w:rPr>
          <w:color w:val="000000"/>
          <w:sz w:val="24"/>
          <w:szCs w:val="24"/>
        </w:rPr>
        <w:t>11</w:t>
      </w:r>
      <w:r>
        <w:rPr>
          <w:color w:val="000000"/>
          <w:sz w:val="24"/>
          <w:szCs w:val="24"/>
        </w:rPr>
        <w:t>月份，市场主要受到滞胀担忧的影响：</w:t>
      </w:r>
      <w:r>
        <w:rPr>
          <w:color w:val="000000"/>
          <w:sz w:val="24"/>
          <w:szCs w:val="24"/>
        </w:rPr>
        <w:t>Q3</w:t>
      </w:r>
      <w:r>
        <w:rPr>
          <w:color w:val="000000"/>
          <w:sz w:val="24"/>
          <w:szCs w:val="24"/>
        </w:rPr>
        <w:t>的</w:t>
      </w:r>
      <w:r>
        <w:rPr>
          <w:color w:val="000000"/>
          <w:sz w:val="24"/>
          <w:szCs w:val="24"/>
        </w:rPr>
        <w:t>GDP</w:t>
      </w:r>
      <w:r>
        <w:rPr>
          <w:color w:val="000000"/>
          <w:sz w:val="24"/>
          <w:szCs w:val="24"/>
        </w:rPr>
        <w:t>增速降至创新低的</w:t>
      </w:r>
      <w:r>
        <w:rPr>
          <w:color w:val="000000"/>
          <w:sz w:val="24"/>
          <w:szCs w:val="24"/>
        </w:rPr>
        <w:t>6%</w:t>
      </w:r>
      <w:r>
        <w:rPr>
          <w:color w:val="000000"/>
          <w:sz w:val="24"/>
          <w:szCs w:val="24"/>
        </w:rPr>
        <w:t>，</w:t>
      </w:r>
      <w:r>
        <w:rPr>
          <w:color w:val="000000"/>
          <w:sz w:val="24"/>
          <w:szCs w:val="24"/>
        </w:rPr>
        <w:t>9</w:t>
      </w:r>
      <w:r>
        <w:rPr>
          <w:color w:val="000000"/>
          <w:sz w:val="24"/>
          <w:szCs w:val="24"/>
        </w:rPr>
        <w:t>月和</w:t>
      </w:r>
      <w:r>
        <w:rPr>
          <w:color w:val="000000"/>
          <w:sz w:val="24"/>
          <w:szCs w:val="24"/>
        </w:rPr>
        <w:t>10</w:t>
      </w:r>
      <w:r>
        <w:rPr>
          <w:color w:val="000000"/>
          <w:sz w:val="24"/>
          <w:szCs w:val="24"/>
        </w:rPr>
        <w:t>月份的经济数据疲弱，但是</w:t>
      </w:r>
      <w:r>
        <w:rPr>
          <w:color w:val="000000"/>
          <w:sz w:val="24"/>
          <w:szCs w:val="24"/>
        </w:rPr>
        <w:t>CPI</w:t>
      </w:r>
      <w:r>
        <w:rPr>
          <w:color w:val="000000"/>
          <w:sz w:val="24"/>
          <w:szCs w:val="24"/>
        </w:rPr>
        <w:t>却不断创新高，滞胀的担忧掣肘货币政策空间，也压制权益市场的表现。但是此后，货币政策仍然保持宽松的</w:t>
      </w:r>
      <w:r>
        <w:rPr>
          <w:color w:val="000000"/>
          <w:sz w:val="24"/>
          <w:szCs w:val="24"/>
        </w:rPr>
        <w:t>延续性，</w:t>
      </w:r>
      <w:r>
        <w:rPr>
          <w:color w:val="000000"/>
          <w:sz w:val="24"/>
          <w:szCs w:val="24"/>
        </w:rPr>
        <w:t xml:space="preserve"> MLF</w:t>
      </w:r>
      <w:r>
        <w:rPr>
          <w:color w:val="000000"/>
          <w:sz w:val="24"/>
          <w:szCs w:val="24"/>
        </w:rPr>
        <w:t>和</w:t>
      </w:r>
      <w:r>
        <w:rPr>
          <w:color w:val="000000"/>
          <w:sz w:val="24"/>
          <w:szCs w:val="24"/>
        </w:rPr>
        <w:t>5</w:t>
      </w:r>
      <w:r>
        <w:rPr>
          <w:color w:val="000000"/>
          <w:sz w:val="24"/>
          <w:szCs w:val="24"/>
        </w:rPr>
        <w:t>年期</w:t>
      </w:r>
      <w:r>
        <w:rPr>
          <w:color w:val="000000"/>
          <w:sz w:val="24"/>
          <w:szCs w:val="24"/>
        </w:rPr>
        <w:t>LPR</w:t>
      </w:r>
      <w:r>
        <w:rPr>
          <w:color w:val="000000"/>
          <w:sz w:val="24"/>
          <w:szCs w:val="24"/>
        </w:rPr>
        <w:t>均下降了</w:t>
      </w:r>
      <w:r>
        <w:rPr>
          <w:color w:val="000000"/>
          <w:sz w:val="24"/>
          <w:szCs w:val="24"/>
        </w:rPr>
        <w:t>5BP</w:t>
      </w:r>
      <w:r>
        <w:rPr>
          <w:color w:val="000000"/>
          <w:sz w:val="24"/>
          <w:szCs w:val="24"/>
        </w:rPr>
        <w:t>，节前央行持续公开市场操作也使金融市场流动性宽裕，且外资持续净流入，导致市场的资金面较为宽松。年底市场在极低成交量之后开始放量反弹。而中美贸易谈判第一阶段协议取得积极进展、中央经济工作会议对于</w:t>
      </w:r>
      <w:r>
        <w:rPr>
          <w:color w:val="000000"/>
          <w:sz w:val="24"/>
          <w:szCs w:val="24"/>
        </w:rPr>
        <w:t>“</w:t>
      </w:r>
      <w:r>
        <w:rPr>
          <w:color w:val="000000"/>
          <w:sz w:val="24"/>
          <w:szCs w:val="24"/>
        </w:rPr>
        <w:t>稳</w:t>
      </w:r>
      <w:r>
        <w:rPr>
          <w:color w:val="000000"/>
          <w:sz w:val="24"/>
          <w:szCs w:val="24"/>
        </w:rPr>
        <w:t>”</w:t>
      </w:r>
      <w:r>
        <w:rPr>
          <w:color w:val="000000"/>
          <w:sz w:val="24"/>
          <w:szCs w:val="24"/>
        </w:rPr>
        <w:t>的强调度提高以及资本市场改革推进，提升市场对于稳增长的预期，带动市场风险偏好提升，各类指数均不断走强。结构上，业绩稳健的建材、家电、房地产和银行等低估值板块，在</w:t>
      </w:r>
      <w:r>
        <w:rPr>
          <w:color w:val="000000"/>
          <w:sz w:val="24"/>
          <w:szCs w:val="24"/>
        </w:rPr>
        <w:t>4</w:t>
      </w:r>
      <w:r>
        <w:rPr>
          <w:color w:val="000000"/>
          <w:sz w:val="24"/>
          <w:szCs w:val="24"/>
        </w:rPr>
        <w:t>季度率先迎来估值切换行情，涨幅领先；受益于贸易谈判进展和市场风险偏好提升，科技板块持续表现较好。</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操作上，四季度组合股票主要选择高分红、低估值、较高</w:t>
      </w:r>
      <w:r w:rsidRPr="006C56AA">
        <w:rPr>
          <w:color w:val="000000"/>
          <w:sz w:val="24"/>
          <w:szCs w:val="24"/>
        </w:rPr>
        <w:t>ROE</w:t>
      </w:r>
      <w:r w:rsidRPr="006C56AA">
        <w:rPr>
          <w:color w:val="000000"/>
          <w:sz w:val="24"/>
          <w:szCs w:val="24"/>
        </w:rPr>
        <w:t>的优质个股，积极参与科创板与主板打新，作为收益增强。债券方面，持仓主要为信用债，采用票息以及杠杆策略。</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1.339</w:t>
      </w:r>
      <w:r w:rsidRPr="006C56AA">
        <w:rPr>
          <w:color w:val="000000"/>
          <w:sz w:val="24"/>
          <w:szCs w:val="24"/>
        </w:rPr>
        <w:t>元，本报告期份额净值增长率为</w:t>
      </w:r>
      <w:r w:rsidRPr="006C56AA">
        <w:rPr>
          <w:color w:val="000000"/>
          <w:sz w:val="24"/>
          <w:szCs w:val="24"/>
        </w:rPr>
        <w:t>2.84%</w:t>
      </w:r>
      <w:r w:rsidRPr="006C56AA">
        <w:rPr>
          <w:color w:val="000000"/>
          <w:sz w:val="24"/>
          <w:szCs w:val="24"/>
        </w:rPr>
        <w:t>，同期业绩比较基准收益率为</w:t>
      </w:r>
      <w:r w:rsidRPr="006C56AA">
        <w:rPr>
          <w:color w:val="000000"/>
          <w:sz w:val="24"/>
          <w:szCs w:val="24"/>
        </w:rPr>
        <w:t>0.89%</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80,705,020.17</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15.28</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80,705,020.17</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15.28</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438,106,044.78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82.96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428,080,044.78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81.06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10,026,000.00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1.90</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2,941,308.22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0.56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6,324,860.08</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1.20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528,077,233.25</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9,159,723.00</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2.18</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24,753,566.67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5.90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6,379,385.98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1.52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3,056,718.00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0.73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3,063,532.50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0.73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7,663,254.00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1.83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14,788,746.98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3.52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11,833,515.00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2.82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6,578.04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80,705,020.17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19.24</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E57889">
        <w:tc>
          <w:tcPr>
            <w:tcW w:w="0" w:type="auto"/>
            <w:vAlign w:val="center"/>
          </w:tcPr>
          <w:p w:rsidR="00E57889" w:rsidRDefault="00F7094B">
            <w:pPr>
              <w:jc w:val="center"/>
            </w:pPr>
            <w:r>
              <w:rPr>
                <w:color w:val="000000"/>
                <w:kern w:val="0"/>
                <w:sz w:val="24"/>
                <w:szCs w:val="24"/>
              </w:rPr>
              <w:t>1</w:t>
            </w:r>
          </w:p>
        </w:tc>
        <w:tc>
          <w:tcPr>
            <w:tcW w:w="0" w:type="auto"/>
            <w:vAlign w:val="center"/>
          </w:tcPr>
          <w:p w:rsidR="00E57889" w:rsidRDefault="00F7094B">
            <w:pPr>
              <w:jc w:val="center"/>
            </w:pPr>
            <w:r>
              <w:rPr>
                <w:color w:val="000000"/>
                <w:kern w:val="0"/>
                <w:sz w:val="24"/>
                <w:szCs w:val="24"/>
              </w:rPr>
              <w:t>600585</w:t>
            </w:r>
          </w:p>
        </w:tc>
        <w:tc>
          <w:tcPr>
            <w:tcW w:w="0" w:type="auto"/>
            <w:vAlign w:val="center"/>
          </w:tcPr>
          <w:p w:rsidR="00E57889" w:rsidRDefault="00F7094B">
            <w:pPr>
              <w:jc w:val="center"/>
            </w:pPr>
            <w:r>
              <w:rPr>
                <w:color w:val="000000"/>
                <w:kern w:val="0"/>
                <w:sz w:val="24"/>
                <w:szCs w:val="24"/>
              </w:rPr>
              <w:t>海螺水泥</w:t>
            </w:r>
          </w:p>
        </w:tc>
        <w:tc>
          <w:tcPr>
            <w:tcW w:w="0" w:type="auto"/>
            <w:vAlign w:val="center"/>
          </w:tcPr>
          <w:p w:rsidR="00E57889" w:rsidRDefault="00F7094B">
            <w:pPr>
              <w:jc w:val="right"/>
            </w:pPr>
            <w:r>
              <w:rPr>
                <w:color w:val="000000"/>
                <w:kern w:val="0"/>
                <w:sz w:val="24"/>
                <w:szCs w:val="24"/>
              </w:rPr>
              <w:t>79,100</w:t>
            </w:r>
          </w:p>
        </w:tc>
        <w:tc>
          <w:tcPr>
            <w:tcW w:w="0" w:type="auto"/>
            <w:vAlign w:val="center"/>
          </w:tcPr>
          <w:p w:rsidR="00E57889" w:rsidRDefault="00F7094B">
            <w:pPr>
              <w:jc w:val="right"/>
            </w:pPr>
            <w:r>
              <w:rPr>
                <w:color w:val="000000"/>
                <w:kern w:val="0"/>
                <w:sz w:val="24"/>
                <w:szCs w:val="24"/>
              </w:rPr>
              <w:t>4,334,680.00</w:t>
            </w:r>
          </w:p>
        </w:tc>
        <w:tc>
          <w:tcPr>
            <w:tcW w:w="0" w:type="auto"/>
            <w:vAlign w:val="center"/>
          </w:tcPr>
          <w:p w:rsidR="00E57889" w:rsidRDefault="00F7094B">
            <w:pPr>
              <w:jc w:val="right"/>
            </w:pPr>
            <w:r>
              <w:rPr>
                <w:color w:val="000000"/>
                <w:kern w:val="0"/>
                <w:sz w:val="24"/>
                <w:szCs w:val="24"/>
              </w:rPr>
              <w:t>1.03</w:t>
            </w:r>
          </w:p>
        </w:tc>
      </w:tr>
      <w:tr w:rsidR="00E57889">
        <w:tc>
          <w:tcPr>
            <w:tcW w:w="0" w:type="auto"/>
            <w:vAlign w:val="center"/>
          </w:tcPr>
          <w:p w:rsidR="00E57889" w:rsidRDefault="00F7094B">
            <w:pPr>
              <w:jc w:val="center"/>
            </w:pPr>
            <w:r>
              <w:rPr>
                <w:color w:val="000000"/>
                <w:kern w:val="0"/>
                <w:sz w:val="24"/>
                <w:szCs w:val="24"/>
              </w:rPr>
              <w:t>2</w:t>
            </w:r>
          </w:p>
        </w:tc>
        <w:tc>
          <w:tcPr>
            <w:tcW w:w="0" w:type="auto"/>
            <w:vAlign w:val="center"/>
          </w:tcPr>
          <w:p w:rsidR="00E57889" w:rsidRDefault="00F7094B">
            <w:pPr>
              <w:jc w:val="center"/>
            </w:pPr>
            <w:r>
              <w:rPr>
                <w:color w:val="000000"/>
                <w:kern w:val="0"/>
                <w:sz w:val="24"/>
                <w:szCs w:val="24"/>
              </w:rPr>
              <w:t>600048</w:t>
            </w:r>
          </w:p>
        </w:tc>
        <w:tc>
          <w:tcPr>
            <w:tcW w:w="0" w:type="auto"/>
            <w:vAlign w:val="center"/>
          </w:tcPr>
          <w:p w:rsidR="00E57889" w:rsidRDefault="00F7094B">
            <w:pPr>
              <w:jc w:val="center"/>
            </w:pPr>
            <w:r>
              <w:rPr>
                <w:color w:val="000000"/>
                <w:kern w:val="0"/>
                <w:sz w:val="24"/>
                <w:szCs w:val="24"/>
              </w:rPr>
              <w:t>保利地产</w:t>
            </w:r>
          </w:p>
        </w:tc>
        <w:tc>
          <w:tcPr>
            <w:tcW w:w="0" w:type="auto"/>
            <w:vAlign w:val="center"/>
          </w:tcPr>
          <w:p w:rsidR="00E57889" w:rsidRDefault="00F7094B">
            <w:pPr>
              <w:jc w:val="right"/>
            </w:pPr>
            <w:r>
              <w:rPr>
                <w:color w:val="000000"/>
                <w:kern w:val="0"/>
                <w:sz w:val="24"/>
                <w:szCs w:val="24"/>
              </w:rPr>
              <w:t>232,200</w:t>
            </w:r>
          </w:p>
        </w:tc>
        <w:tc>
          <w:tcPr>
            <w:tcW w:w="0" w:type="auto"/>
            <w:vAlign w:val="center"/>
          </w:tcPr>
          <w:p w:rsidR="00E57889" w:rsidRDefault="00F7094B">
            <w:pPr>
              <w:jc w:val="right"/>
            </w:pPr>
            <w:r>
              <w:rPr>
                <w:color w:val="000000"/>
                <w:kern w:val="0"/>
                <w:sz w:val="24"/>
                <w:szCs w:val="24"/>
              </w:rPr>
              <w:t>3,756,996.00</w:t>
            </w:r>
          </w:p>
        </w:tc>
        <w:tc>
          <w:tcPr>
            <w:tcW w:w="0" w:type="auto"/>
            <w:vAlign w:val="center"/>
          </w:tcPr>
          <w:p w:rsidR="00E57889" w:rsidRDefault="00F7094B">
            <w:pPr>
              <w:jc w:val="right"/>
            </w:pPr>
            <w:r>
              <w:rPr>
                <w:color w:val="000000"/>
                <w:kern w:val="0"/>
                <w:sz w:val="24"/>
                <w:szCs w:val="24"/>
              </w:rPr>
              <w:t>0.90</w:t>
            </w:r>
          </w:p>
        </w:tc>
      </w:tr>
      <w:tr w:rsidR="00E57889">
        <w:tc>
          <w:tcPr>
            <w:tcW w:w="0" w:type="auto"/>
            <w:vAlign w:val="center"/>
          </w:tcPr>
          <w:p w:rsidR="00E57889" w:rsidRDefault="00F7094B">
            <w:pPr>
              <w:jc w:val="center"/>
            </w:pPr>
            <w:r>
              <w:rPr>
                <w:color w:val="000000"/>
                <w:kern w:val="0"/>
                <w:sz w:val="24"/>
                <w:szCs w:val="24"/>
              </w:rPr>
              <w:t>3</w:t>
            </w:r>
          </w:p>
        </w:tc>
        <w:tc>
          <w:tcPr>
            <w:tcW w:w="0" w:type="auto"/>
            <w:vAlign w:val="center"/>
          </w:tcPr>
          <w:p w:rsidR="00E57889" w:rsidRDefault="00F7094B">
            <w:pPr>
              <w:jc w:val="center"/>
            </w:pPr>
            <w:r>
              <w:rPr>
                <w:color w:val="000000"/>
                <w:kern w:val="0"/>
                <w:sz w:val="24"/>
                <w:szCs w:val="24"/>
              </w:rPr>
              <w:t>600383</w:t>
            </w:r>
          </w:p>
        </w:tc>
        <w:tc>
          <w:tcPr>
            <w:tcW w:w="0" w:type="auto"/>
            <w:vAlign w:val="center"/>
          </w:tcPr>
          <w:p w:rsidR="00E57889" w:rsidRDefault="00F7094B">
            <w:pPr>
              <w:jc w:val="center"/>
            </w:pPr>
            <w:r>
              <w:rPr>
                <w:color w:val="000000"/>
                <w:kern w:val="0"/>
                <w:sz w:val="24"/>
                <w:szCs w:val="24"/>
              </w:rPr>
              <w:t>金地集团</w:t>
            </w:r>
          </w:p>
        </w:tc>
        <w:tc>
          <w:tcPr>
            <w:tcW w:w="0" w:type="auto"/>
            <w:vAlign w:val="center"/>
          </w:tcPr>
          <w:p w:rsidR="00E57889" w:rsidRDefault="00F7094B">
            <w:pPr>
              <w:jc w:val="right"/>
            </w:pPr>
            <w:r>
              <w:rPr>
                <w:color w:val="000000"/>
                <w:kern w:val="0"/>
                <w:sz w:val="24"/>
                <w:szCs w:val="24"/>
              </w:rPr>
              <w:t>252,500</w:t>
            </w:r>
          </w:p>
        </w:tc>
        <w:tc>
          <w:tcPr>
            <w:tcW w:w="0" w:type="auto"/>
            <w:vAlign w:val="center"/>
          </w:tcPr>
          <w:p w:rsidR="00E57889" w:rsidRDefault="00F7094B">
            <w:pPr>
              <w:jc w:val="right"/>
            </w:pPr>
            <w:r>
              <w:rPr>
                <w:color w:val="000000"/>
                <w:kern w:val="0"/>
                <w:sz w:val="24"/>
                <w:szCs w:val="24"/>
              </w:rPr>
              <w:t>3,661,250.00</w:t>
            </w:r>
          </w:p>
        </w:tc>
        <w:tc>
          <w:tcPr>
            <w:tcW w:w="0" w:type="auto"/>
            <w:vAlign w:val="center"/>
          </w:tcPr>
          <w:p w:rsidR="00E57889" w:rsidRDefault="00F7094B">
            <w:pPr>
              <w:jc w:val="right"/>
            </w:pPr>
            <w:r>
              <w:rPr>
                <w:color w:val="000000"/>
                <w:kern w:val="0"/>
                <w:sz w:val="24"/>
                <w:szCs w:val="24"/>
              </w:rPr>
              <w:t>0.87</w:t>
            </w:r>
          </w:p>
        </w:tc>
      </w:tr>
      <w:tr w:rsidR="00E57889">
        <w:tc>
          <w:tcPr>
            <w:tcW w:w="0" w:type="auto"/>
            <w:vAlign w:val="center"/>
          </w:tcPr>
          <w:p w:rsidR="00E57889" w:rsidRDefault="00F7094B">
            <w:pPr>
              <w:jc w:val="center"/>
            </w:pPr>
            <w:r>
              <w:rPr>
                <w:color w:val="000000"/>
                <w:kern w:val="0"/>
                <w:sz w:val="24"/>
                <w:szCs w:val="24"/>
              </w:rPr>
              <w:t>4</w:t>
            </w:r>
          </w:p>
        </w:tc>
        <w:tc>
          <w:tcPr>
            <w:tcW w:w="0" w:type="auto"/>
            <w:vAlign w:val="center"/>
          </w:tcPr>
          <w:p w:rsidR="00E57889" w:rsidRDefault="00F7094B">
            <w:pPr>
              <w:jc w:val="center"/>
            </w:pPr>
            <w:r>
              <w:rPr>
                <w:color w:val="000000"/>
                <w:kern w:val="0"/>
                <w:sz w:val="24"/>
                <w:szCs w:val="24"/>
              </w:rPr>
              <w:t>601877</w:t>
            </w:r>
          </w:p>
        </w:tc>
        <w:tc>
          <w:tcPr>
            <w:tcW w:w="0" w:type="auto"/>
            <w:vAlign w:val="center"/>
          </w:tcPr>
          <w:p w:rsidR="00E57889" w:rsidRDefault="00F7094B">
            <w:pPr>
              <w:jc w:val="center"/>
            </w:pPr>
            <w:r>
              <w:rPr>
                <w:color w:val="000000"/>
                <w:kern w:val="0"/>
                <w:sz w:val="24"/>
                <w:szCs w:val="24"/>
              </w:rPr>
              <w:t>正泰电器</w:t>
            </w:r>
          </w:p>
        </w:tc>
        <w:tc>
          <w:tcPr>
            <w:tcW w:w="0" w:type="auto"/>
            <w:vAlign w:val="center"/>
          </w:tcPr>
          <w:p w:rsidR="00E57889" w:rsidRDefault="00F7094B">
            <w:pPr>
              <w:jc w:val="right"/>
            </w:pPr>
            <w:r>
              <w:rPr>
                <w:color w:val="000000"/>
                <w:kern w:val="0"/>
                <w:sz w:val="24"/>
                <w:szCs w:val="24"/>
              </w:rPr>
              <w:t>131,800</w:t>
            </w:r>
          </w:p>
        </w:tc>
        <w:tc>
          <w:tcPr>
            <w:tcW w:w="0" w:type="auto"/>
            <w:vAlign w:val="center"/>
          </w:tcPr>
          <w:p w:rsidR="00E57889" w:rsidRDefault="00F7094B">
            <w:pPr>
              <w:jc w:val="right"/>
            </w:pPr>
            <w:r>
              <w:rPr>
                <w:color w:val="000000"/>
                <w:kern w:val="0"/>
                <w:sz w:val="24"/>
                <w:szCs w:val="24"/>
              </w:rPr>
              <w:t>3,532,240.00</w:t>
            </w:r>
          </w:p>
        </w:tc>
        <w:tc>
          <w:tcPr>
            <w:tcW w:w="0" w:type="auto"/>
            <w:vAlign w:val="center"/>
          </w:tcPr>
          <w:p w:rsidR="00E57889" w:rsidRDefault="00F7094B">
            <w:pPr>
              <w:jc w:val="right"/>
            </w:pPr>
            <w:r>
              <w:rPr>
                <w:color w:val="000000"/>
                <w:kern w:val="0"/>
                <w:sz w:val="24"/>
                <w:szCs w:val="24"/>
              </w:rPr>
              <w:t>0.84</w:t>
            </w:r>
          </w:p>
        </w:tc>
      </w:tr>
      <w:tr w:rsidR="00E57889">
        <w:tc>
          <w:tcPr>
            <w:tcW w:w="0" w:type="auto"/>
            <w:vAlign w:val="center"/>
          </w:tcPr>
          <w:p w:rsidR="00E57889" w:rsidRDefault="00F7094B">
            <w:pPr>
              <w:jc w:val="center"/>
            </w:pPr>
            <w:r>
              <w:rPr>
                <w:color w:val="000000"/>
                <w:kern w:val="0"/>
                <w:sz w:val="24"/>
                <w:szCs w:val="24"/>
              </w:rPr>
              <w:t>5</w:t>
            </w:r>
          </w:p>
        </w:tc>
        <w:tc>
          <w:tcPr>
            <w:tcW w:w="0" w:type="auto"/>
            <w:vAlign w:val="center"/>
          </w:tcPr>
          <w:p w:rsidR="00E57889" w:rsidRDefault="00F7094B">
            <w:pPr>
              <w:jc w:val="center"/>
            </w:pPr>
            <w:r>
              <w:rPr>
                <w:color w:val="000000"/>
                <w:kern w:val="0"/>
                <w:sz w:val="24"/>
                <w:szCs w:val="24"/>
              </w:rPr>
              <w:t>600066</w:t>
            </w:r>
          </w:p>
        </w:tc>
        <w:tc>
          <w:tcPr>
            <w:tcW w:w="0" w:type="auto"/>
            <w:vAlign w:val="center"/>
          </w:tcPr>
          <w:p w:rsidR="00E57889" w:rsidRDefault="00F7094B">
            <w:pPr>
              <w:jc w:val="center"/>
            </w:pPr>
            <w:r>
              <w:rPr>
                <w:color w:val="000000"/>
                <w:kern w:val="0"/>
                <w:sz w:val="24"/>
                <w:szCs w:val="24"/>
              </w:rPr>
              <w:t>宇通客车</w:t>
            </w:r>
          </w:p>
        </w:tc>
        <w:tc>
          <w:tcPr>
            <w:tcW w:w="0" w:type="auto"/>
            <w:vAlign w:val="center"/>
          </w:tcPr>
          <w:p w:rsidR="00E57889" w:rsidRDefault="00F7094B">
            <w:pPr>
              <w:jc w:val="right"/>
            </w:pPr>
            <w:r>
              <w:rPr>
                <w:color w:val="000000"/>
                <w:kern w:val="0"/>
                <w:sz w:val="24"/>
                <w:szCs w:val="24"/>
              </w:rPr>
              <w:t>241,800</w:t>
            </w:r>
          </w:p>
        </w:tc>
        <w:tc>
          <w:tcPr>
            <w:tcW w:w="0" w:type="auto"/>
            <w:vAlign w:val="center"/>
          </w:tcPr>
          <w:p w:rsidR="00E57889" w:rsidRDefault="00F7094B">
            <w:pPr>
              <w:jc w:val="right"/>
            </w:pPr>
            <w:r>
              <w:rPr>
                <w:color w:val="000000"/>
                <w:kern w:val="0"/>
                <w:sz w:val="24"/>
                <w:szCs w:val="24"/>
              </w:rPr>
              <w:t>3,445,650.00</w:t>
            </w:r>
          </w:p>
        </w:tc>
        <w:tc>
          <w:tcPr>
            <w:tcW w:w="0" w:type="auto"/>
            <w:vAlign w:val="center"/>
          </w:tcPr>
          <w:p w:rsidR="00E57889" w:rsidRDefault="00F7094B">
            <w:pPr>
              <w:jc w:val="right"/>
            </w:pPr>
            <w:r>
              <w:rPr>
                <w:color w:val="000000"/>
                <w:kern w:val="0"/>
                <w:sz w:val="24"/>
                <w:szCs w:val="24"/>
              </w:rPr>
              <w:t>0.82</w:t>
            </w:r>
          </w:p>
        </w:tc>
      </w:tr>
      <w:tr w:rsidR="00E57889">
        <w:tc>
          <w:tcPr>
            <w:tcW w:w="0" w:type="auto"/>
            <w:vAlign w:val="center"/>
          </w:tcPr>
          <w:p w:rsidR="00E57889" w:rsidRDefault="00F7094B">
            <w:pPr>
              <w:jc w:val="center"/>
            </w:pPr>
            <w:r>
              <w:rPr>
                <w:color w:val="000000"/>
                <w:kern w:val="0"/>
                <w:sz w:val="24"/>
                <w:szCs w:val="24"/>
              </w:rPr>
              <w:t>6</w:t>
            </w:r>
          </w:p>
        </w:tc>
        <w:tc>
          <w:tcPr>
            <w:tcW w:w="0" w:type="auto"/>
            <w:vAlign w:val="center"/>
          </w:tcPr>
          <w:p w:rsidR="00E57889" w:rsidRDefault="00F7094B">
            <w:pPr>
              <w:jc w:val="center"/>
            </w:pPr>
            <w:r>
              <w:rPr>
                <w:color w:val="000000"/>
                <w:kern w:val="0"/>
                <w:sz w:val="24"/>
                <w:szCs w:val="24"/>
              </w:rPr>
              <w:t>600377</w:t>
            </w:r>
          </w:p>
        </w:tc>
        <w:tc>
          <w:tcPr>
            <w:tcW w:w="0" w:type="auto"/>
            <w:vAlign w:val="center"/>
          </w:tcPr>
          <w:p w:rsidR="00E57889" w:rsidRDefault="00F7094B">
            <w:pPr>
              <w:jc w:val="center"/>
            </w:pPr>
            <w:r>
              <w:rPr>
                <w:color w:val="000000"/>
                <w:kern w:val="0"/>
                <w:sz w:val="24"/>
                <w:szCs w:val="24"/>
              </w:rPr>
              <w:t>宁沪高速</w:t>
            </w:r>
          </w:p>
        </w:tc>
        <w:tc>
          <w:tcPr>
            <w:tcW w:w="0" w:type="auto"/>
            <w:vAlign w:val="center"/>
          </w:tcPr>
          <w:p w:rsidR="00E57889" w:rsidRDefault="00F7094B">
            <w:pPr>
              <w:jc w:val="right"/>
            </w:pPr>
            <w:r>
              <w:rPr>
                <w:color w:val="000000"/>
                <w:kern w:val="0"/>
                <w:sz w:val="24"/>
                <w:szCs w:val="24"/>
              </w:rPr>
              <w:t>298,800</w:t>
            </w:r>
          </w:p>
        </w:tc>
        <w:tc>
          <w:tcPr>
            <w:tcW w:w="0" w:type="auto"/>
            <w:vAlign w:val="center"/>
          </w:tcPr>
          <w:p w:rsidR="00E57889" w:rsidRDefault="00F7094B">
            <w:pPr>
              <w:jc w:val="right"/>
            </w:pPr>
            <w:r>
              <w:rPr>
                <w:color w:val="000000"/>
                <w:kern w:val="0"/>
                <w:sz w:val="24"/>
                <w:szCs w:val="24"/>
              </w:rPr>
              <w:t>3,352,536.00</w:t>
            </w:r>
          </w:p>
        </w:tc>
        <w:tc>
          <w:tcPr>
            <w:tcW w:w="0" w:type="auto"/>
            <w:vAlign w:val="center"/>
          </w:tcPr>
          <w:p w:rsidR="00E57889" w:rsidRDefault="00F7094B">
            <w:pPr>
              <w:jc w:val="right"/>
            </w:pPr>
            <w:r>
              <w:rPr>
                <w:color w:val="000000"/>
                <w:kern w:val="0"/>
                <w:sz w:val="24"/>
                <w:szCs w:val="24"/>
              </w:rPr>
              <w:t>0.80</w:t>
            </w:r>
          </w:p>
        </w:tc>
      </w:tr>
      <w:tr w:rsidR="00E57889">
        <w:tc>
          <w:tcPr>
            <w:tcW w:w="0" w:type="auto"/>
            <w:vAlign w:val="center"/>
          </w:tcPr>
          <w:p w:rsidR="00E57889" w:rsidRDefault="00F7094B">
            <w:pPr>
              <w:jc w:val="center"/>
            </w:pPr>
            <w:r>
              <w:rPr>
                <w:color w:val="000000"/>
                <w:kern w:val="0"/>
                <w:sz w:val="24"/>
                <w:szCs w:val="24"/>
              </w:rPr>
              <w:t>7</w:t>
            </w:r>
          </w:p>
        </w:tc>
        <w:tc>
          <w:tcPr>
            <w:tcW w:w="0" w:type="auto"/>
            <w:vAlign w:val="center"/>
          </w:tcPr>
          <w:p w:rsidR="00E57889" w:rsidRDefault="00F7094B">
            <w:pPr>
              <w:jc w:val="center"/>
            </w:pPr>
            <w:r>
              <w:rPr>
                <w:color w:val="000000"/>
                <w:kern w:val="0"/>
                <w:sz w:val="24"/>
                <w:szCs w:val="24"/>
              </w:rPr>
              <w:t>601006</w:t>
            </w:r>
          </w:p>
        </w:tc>
        <w:tc>
          <w:tcPr>
            <w:tcW w:w="0" w:type="auto"/>
            <w:vAlign w:val="center"/>
          </w:tcPr>
          <w:p w:rsidR="00E57889" w:rsidRDefault="00F7094B">
            <w:pPr>
              <w:jc w:val="center"/>
            </w:pPr>
            <w:r>
              <w:rPr>
                <w:color w:val="000000"/>
                <w:kern w:val="0"/>
                <w:sz w:val="24"/>
                <w:szCs w:val="24"/>
              </w:rPr>
              <w:t>大秦铁路</w:t>
            </w:r>
          </w:p>
        </w:tc>
        <w:tc>
          <w:tcPr>
            <w:tcW w:w="0" w:type="auto"/>
            <w:vAlign w:val="center"/>
          </w:tcPr>
          <w:p w:rsidR="00E57889" w:rsidRDefault="00F7094B">
            <w:pPr>
              <w:jc w:val="right"/>
            </w:pPr>
            <w:r>
              <w:rPr>
                <w:color w:val="000000"/>
                <w:kern w:val="0"/>
                <w:sz w:val="24"/>
                <w:szCs w:val="24"/>
              </w:rPr>
              <w:t>400,000</w:t>
            </w:r>
          </w:p>
        </w:tc>
        <w:tc>
          <w:tcPr>
            <w:tcW w:w="0" w:type="auto"/>
            <w:vAlign w:val="center"/>
          </w:tcPr>
          <w:p w:rsidR="00E57889" w:rsidRDefault="00F7094B">
            <w:pPr>
              <w:jc w:val="right"/>
            </w:pPr>
            <w:r>
              <w:rPr>
                <w:color w:val="000000"/>
                <w:kern w:val="0"/>
                <w:sz w:val="24"/>
                <w:szCs w:val="24"/>
              </w:rPr>
              <w:t>3,284,000.00</w:t>
            </w:r>
          </w:p>
        </w:tc>
        <w:tc>
          <w:tcPr>
            <w:tcW w:w="0" w:type="auto"/>
            <w:vAlign w:val="center"/>
          </w:tcPr>
          <w:p w:rsidR="00E57889" w:rsidRDefault="00F7094B">
            <w:pPr>
              <w:jc w:val="right"/>
            </w:pPr>
            <w:r>
              <w:rPr>
                <w:color w:val="000000"/>
                <w:kern w:val="0"/>
                <w:sz w:val="24"/>
                <w:szCs w:val="24"/>
              </w:rPr>
              <w:t>0.78</w:t>
            </w:r>
          </w:p>
        </w:tc>
      </w:tr>
      <w:tr w:rsidR="00E57889">
        <w:tc>
          <w:tcPr>
            <w:tcW w:w="0" w:type="auto"/>
            <w:vAlign w:val="center"/>
          </w:tcPr>
          <w:p w:rsidR="00E57889" w:rsidRDefault="00F7094B">
            <w:pPr>
              <w:jc w:val="center"/>
            </w:pPr>
            <w:r>
              <w:rPr>
                <w:color w:val="000000"/>
                <w:kern w:val="0"/>
                <w:sz w:val="24"/>
                <w:szCs w:val="24"/>
              </w:rPr>
              <w:t>8</w:t>
            </w:r>
          </w:p>
        </w:tc>
        <w:tc>
          <w:tcPr>
            <w:tcW w:w="0" w:type="auto"/>
            <w:vAlign w:val="center"/>
          </w:tcPr>
          <w:p w:rsidR="00E57889" w:rsidRDefault="00F7094B">
            <w:pPr>
              <w:jc w:val="center"/>
            </w:pPr>
            <w:r>
              <w:rPr>
                <w:color w:val="000000"/>
                <w:kern w:val="0"/>
                <w:sz w:val="24"/>
                <w:szCs w:val="24"/>
              </w:rPr>
              <w:t>601288</w:t>
            </w:r>
          </w:p>
        </w:tc>
        <w:tc>
          <w:tcPr>
            <w:tcW w:w="0" w:type="auto"/>
            <w:vAlign w:val="center"/>
          </w:tcPr>
          <w:p w:rsidR="00E57889" w:rsidRDefault="00F7094B">
            <w:pPr>
              <w:jc w:val="center"/>
            </w:pPr>
            <w:r>
              <w:rPr>
                <w:color w:val="000000"/>
                <w:kern w:val="0"/>
                <w:sz w:val="24"/>
                <w:szCs w:val="24"/>
              </w:rPr>
              <w:t>农业银行</w:t>
            </w:r>
          </w:p>
        </w:tc>
        <w:tc>
          <w:tcPr>
            <w:tcW w:w="0" w:type="auto"/>
            <w:vAlign w:val="center"/>
          </w:tcPr>
          <w:p w:rsidR="00E57889" w:rsidRDefault="00F7094B">
            <w:pPr>
              <w:jc w:val="right"/>
            </w:pPr>
            <w:r>
              <w:rPr>
                <w:color w:val="000000"/>
                <w:kern w:val="0"/>
                <w:sz w:val="24"/>
                <w:szCs w:val="24"/>
              </w:rPr>
              <w:t>885,200</w:t>
            </w:r>
          </w:p>
        </w:tc>
        <w:tc>
          <w:tcPr>
            <w:tcW w:w="0" w:type="auto"/>
            <w:vAlign w:val="center"/>
          </w:tcPr>
          <w:p w:rsidR="00E57889" w:rsidRDefault="00F7094B">
            <w:pPr>
              <w:jc w:val="right"/>
            </w:pPr>
            <w:r>
              <w:rPr>
                <w:color w:val="000000"/>
                <w:kern w:val="0"/>
                <w:sz w:val="24"/>
                <w:szCs w:val="24"/>
              </w:rPr>
              <w:t>3,266,388.00</w:t>
            </w:r>
          </w:p>
        </w:tc>
        <w:tc>
          <w:tcPr>
            <w:tcW w:w="0" w:type="auto"/>
            <w:vAlign w:val="center"/>
          </w:tcPr>
          <w:p w:rsidR="00E57889" w:rsidRDefault="00F7094B">
            <w:pPr>
              <w:jc w:val="right"/>
            </w:pPr>
            <w:r>
              <w:rPr>
                <w:color w:val="000000"/>
                <w:kern w:val="0"/>
                <w:sz w:val="24"/>
                <w:szCs w:val="24"/>
              </w:rPr>
              <w:t>0.78</w:t>
            </w:r>
          </w:p>
        </w:tc>
      </w:tr>
      <w:tr w:rsidR="00E57889">
        <w:tc>
          <w:tcPr>
            <w:tcW w:w="0" w:type="auto"/>
            <w:vAlign w:val="center"/>
          </w:tcPr>
          <w:p w:rsidR="00E57889" w:rsidRDefault="00F7094B">
            <w:pPr>
              <w:jc w:val="center"/>
            </w:pPr>
            <w:r>
              <w:rPr>
                <w:color w:val="000000"/>
                <w:kern w:val="0"/>
                <w:sz w:val="24"/>
                <w:szCs w:val="24"/>
              </w:rPr>
              <w:t>9</w:t>
            </w:r>
          </w:p>
        </w:tc>
        <w:tc>
          <w:tcPr>
            <w:tcW w:w="0" w:type="auto"/>
            <w:vAlign w:val="center"/>
          </w:tcPr>
          <w:p w:rsidR="00E57889" w:rsidRDefault="00F7094B">
            <w:pPr>
              <w:jc w:val="center"/>
            </w:pPr>
            <w:r>
              <w:rPr>
                <w:color w:val="000000"/>
                <w:kern w:val="0"/>
                <w:sz w:val="24"/>
                <w:szCs w:val="24"/>
              </w:rPr>
              <w:t>600236</w:t>
            </w:r>
          </w:p>
        </w:tc>
        <w:tc>
          <w:tcPr>
            <w:tcW w:w="0" w:type="auto"/>
            <w:vAlign w:val="center"/>
          </w:tcPr>
          <w:p w:rsidR="00E57889" w:rsidRDefault="00F7094B">
            <w:pPr>
              <w:jc w:val="center"/>
            </w:pPr>
            <w:r>
              <w:rPr>
                <w:color w:val="000000"/>
                <w:kern w:val="0"/>
                <w:sz w:val="24"/>
                <w:szCs w:val="24"/>
              </w:rPr>
              <w:t>桂冠电力</w:t>
            </w:r>
          </w:p>
        </w:tc>
        <w:tc>
          <w:tcPr>
            <w:tcW w:w="0" w:type="auto"/>
            <w:vAlign w:val="center"/>
          </w:tcPr>
          <w:p w:rsidR="00E57889" w:rsidRDefault="00F7094B">
            <w:pPr>
              <w:jc w:val="right"/>
            </w:pPr>
            <w:r>
              <w:rPr>
                <w:color w:val="000000"/>
                <w:kern w:val="0"/>
                <w:sz w:val="24"/>
                <w:szCs w:val="24"/>
              </w:rPr>
              <w:t>660,560</w:t>
            </w:r>
          </w:p>
        </w:tc>
        <w:tc>
          <w:tcPr>
            <w:tcW w:w="0" w:type="auto"/>
            <w:vAlign w:val="center"/>
          </w:tcPr>
          <w:p w:rsidR="00E57889" w:rsidRDefault="00F7094B">
            <w:pPr>
              <w:jc w:val="right"/>
            </w:pPr>
            <w:r>
              <w:rPr>
                <w:color w:val="000000"/>
                <w:kern w:val="0"/>
                <w:sz w:val="24"/>
                <w:szCs w:val="24"/>
              </w:rPr>
              <w:t>3,230,138.40</w:t>
            </w:r>
          </w:p>
        </w:tc>
        <w:tc>
          <w:tcPr>
            <w:tcW w:w="0" w:type="auto"/>
            <w:vAlign w:val="center"/>
          </w:tcPr>
          <w:p w:rsidR="00E57889" w:rsidRDefault="00F7094B">
            <w:pPr>
              <w:jc w:val="right"/>
            </w:pPr>
            <w:r>
              <w:rPr>
                <w:color w:val="000000"/>
                <w:kern w:val="0"/>
                <w:sz w:val="24"/>
                <w:szCs w:val="24"/>
              </w:rPr>
              <w:t>0.77</w:t>
            </w:r>
          </w:p>
        </w:tc>
      </w:tr>
      <w:tr w:rsidR="00E57889">
        <w:tc>
          <w:tcPr>
            <w:tcW w:w="0" w:type="auto"/>
            <w:vAlign w:val="center"/>
          </w:tcPr>
          <w:p w:rsidR="00E57889" w:rsidRDefault="00F7094B">
            <w:pPr>
              <w:jc w:val="center"/>
            </w:pPr>
            <w:r>
              <w:rPr>
                <w:color w:val="000000"/>
                <w:kern w:val="0"/>
                <w:sz w:val="24"/>
                <w:szCs w:val="24"/>
              </w:rPr>
              <w:t>10</w:t>
            </w:r>
          </w:p>
        </w:tc>
        <w:tc>
          <w:tcPr>
            <w:tcW w:w="0" w:type="auto"/>
            <w:vAlign w:val="center"/>
          </w:tcPr>
          <w:p w:rsidR="00E57889" w:rsidRDefault="00F7094B">
            <w:pPr>
              <w:jc w:val="center"/>
            </w:pPr>
            <w:r>
              <w:rPr>
                <w:color w:val="000000"/>
                <w:kern w:val="0"/>
                <w:sz w:val="24"/>
                <w:szCs w:val="24"/>
              </w:rPr>
              <w:t>600900</w:t>
            </w:r>
          </w:p>
        </w:tc>
        <w:tc>
          <w:tcPr>
            <w:tcW w:w="0" w:type="auto"/>
            <w:vAlign w:val="center"/>
          </w:tcPr>
          <w:p w:rsidR="00E57889" w:rsidRDefault="00F7094B">
            <w:pPr>
              <w:jc w:val="center"/>
            </w:pPr>
            <w:r>
              <w:rPr>
                <w:color w:val="000000"/>
                <w:kern w:val="0"/>
                <w:sz w:val="24"/>
                <w:szCs w:val="24"/>
              </w:rPr>
              <w:t>长江电力</w:t>
            </w:r>
          </w:p>
        </w:tc>
        <w:tc>
          <w:tcPr>
            <w:tcW w:w="0" w:type="auto"/>
            <w:vAlign w:val="center"/>
          </w:tcPr>
          <w:p w:rsidR="00E57889" w:rsidRDefault="00F7094B">
            <w:pPr>
              <w:jc w:val="right"/>
            </w:pPr>
            <w:r>
              <w:rPr>
                <w:color w:val="000000"/>
                <w:kern w:val="0"/>
                <w:sz w:val="24"/>
                <w:szCs w:val="24"/>
              </w:rPr>
              <w:t>171,341</w:t>
            </w:r>
          </w:p>
        </w:tc>
        <w:tc>
          <w:tcPr>
            <w:tcW w:w="0" w:type="auto"/>
            <w:vAlign w:val="center"/>
          </w:tcPr>
          <w:p w:rsidR="00E57889" w:rsidRDefault="00F7094B">
            <w:pPr>
              <w:jc w:val="right"/>
            </w:pPr>
            <w:r>
              <w:rPr>
                <w:color w:val="000000"/>
                <w:kern w:val="0"/>
                <w:sz w:val="24"/>
                <w:szCs w:val="24"/>
              </w:rPr>
              <w:t>3,149,247.58</w:t>
            </w:r>
          </w:p>
        </w:tc>
        <w:tc>
          <w:tcPr>
            <w:tcW w:w="0" w:type="auto"/>
            <w:vAlign w:val="center"/>
          </w:tcPr>
          <w:p w:rsidR="00E57889" w:rsidRDefault="00F7094B">
            <w:pPr>
              <w:jc w:val="right"/>
            </w:pPr>
            <w:r>
              <w:rPr>
                <w:color w:val="000000"/>
                <w:kern w:val="0"/>
                <w:sz w:val="24"/>
                <w:szCs w:val="24"/>
              </w:rPr>
              <w:t>0.75</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500,600.00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0.12</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29,611,220.00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7.06</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29,611,220.00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7.06</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61,550,600.00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14.67</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60,233,000.00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14.36</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272,862,000.00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65.03</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3,322,624.78</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0.79</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428,080,044.78</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102.03</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E57889">
        <w:tc>
          <w:tcPr>
            <w:tcW w:w="0" w:type="auto"/>
            <w:vAlign w:val="center"/>
          </w:tcPr>
          <w:p w:rsidR="00E57889" w:rsidRDefault="00F7094B">
            <w:pPr>
              <w:jc w:val="center"/>
            </w:pPr>
            <w:r>
              <w:rPr>
                <w:color w:val="000000"/>
                <w:kern w:val="0"/>
                <w:sz w:val="24"/>
                <w:szCs w:val="24"/>
              </w:rPr>
              <w:t>1</w:t>
            </w:r>
          </w:p>
        </w:tc>
        <w:tc>
          <w:tcPr>
            <w:tcW w:w="0" w:type="auto"/>
            <w:vAlign w:val="center"/>
          </w:tcPr>
          <w:p w:rsidR="00E57889" w:rsidRDefault="00F7094B">
            <w:pPr>
              <w:jc w:val="center"/>
            </w:pPr>
            <w:r>
              <w:rPr>
                <w:color w:val="000000"/>
                <w:kern w:val="0"/>
                <w:sz w:val="24"/>
                <w:szCs w:val="24"/>
              </w:rPr>
              <w:t>101900819</w:t>
            </w:r>
          </w:p>
        </w:tc>
        <w:tc>
          <w:tcPr>
            <w:tcW w:w="0" w:type="auto"/>
            <w:vAlign w:val="center"/>
          </w:tcPr>
          <w:p w:rsidR="00E57889" w:rsidRDefault="00F7094B">
            <w:pPr>
              <w:jc w:val="center"/>
            </w:pPr>
            <w:r>
              <w:rPr>
                <w:color w:val="000000"/>
                <w:kern w:val="0"/>
                <w:sz w:val="24"/>
                <w:szCs w:val="24"/>
              </w:rPr>
              <w:t>19</w:t>
            </w:r>
            <w:r>
              <w:rPr>
                <w:color w:val="000000"/>
                <w:kern w:val="0"/>
                <w:sz w:val="24"/>
                <w:szCs w:val="24"/>
              </w:rPr>
              <w:t>津城建</w:t>
            </w:r>
            <w:r>
              <w:rPr>
                <w:color w:val="000000"/>
                <w:kern w:val="0"/>
                <w:sz w:val="24"/>
                <w:szCs w:val="24"/>
              </w:rPr>
              <w:t>MTN004B</w:t>
            </w:r>
          </w:p>
        </w:tc>
        <w:tc>
          <w:tcPr>
            <w:tcW w:w="0" w:type="auto"/>
            <w:vAlign w:val="center"/>
          </w:tcPr>
          <w:p w:rsidR="00E57889" w:rsidRDefault="00F7094B">
            <w:pPr>
              <w:jc w:val="right"/>
            </w:pPr>
            <w:r>
              <w:rPr>
                <w:color w:val="000000"/>
                <w:kern w:val="0"/>
                <w:sz w:val="24"/>
                <w:szCs w:val="24"/>
              </w:rPr>
              <w:t>200,000</w:t>
            </w:r>
          </w:p>
        </w:tc>
        <w:tc>
          <w:tcPr>
            <w:tcW w:w="0" w:type="auto"/>
            <w:vAlign w:val="center"/>
          </w:tcPr>
          <w:p w:rsidR="00E57889" w:rsidRDefault="00F7094B">
            <w:pPr>
              <w:jc w:val="right"/>
            </w:pPr>
            <w:r>
              <w:rPr>
                <w:color w:val="000000"/>
                <w:kern w:val="0"/>
                <w:sz w:val="24"/>
                <w:szCs w:val="24"/>
              </w:rPr>
              <w:t>20,462,000.00</w:t>
            </w:r>
          </w:p>
        </w:tc>
        <w:tc>
          <w:tcPr>
            <w:tcW w:w="0" w:type="auto"/>
            <w:vAlign w:val="center"/>
          </w:tcPr>
          <w:p w:rsidR="00E57889" w:rsidRDefault="00F7094B">
            <w:pPr>
              <w:jc w:val="right"/>
            </w:pPr>
            <w:r>
              <w:rPr>
                <w:color w:val="000000"/>
                <w:kern w:val="0"/>
                <w:sz w:val="24"/>
                <w:szCs w:val="24"/>
              </w:rPr>
              <w:t>4.88</w:t>
            </w:r>
          </w:p>
        </w:tc>
      </w:tr>
      <w:tr w:rsidR="00E57889">
        <w:tc>
          <w:tcPr>
            <w:tcW w:w="0" w:type="auto"/>
            <w:vAlign w:val="center"/>
          </w:tcPr>
          <w:p w:rsidR="00E57889" w:rsidRDefault="00F7094B">
            <w:pPr>
              <w:jc w:val="center"/>
            </w:pPr>
            <w:r>
              <w:rPr>
                <w:color w:val="000000"/>
                <w:kern w:val="0"/>
                <w:sz w:val="24"/>
                <w:szCs w:val="24"/>
              </w:rPr>
              <w:t>2</w:t>
            </w:r>
          </w:p>
        </w:tc>
        <w:tc>
          <w:tcPr>
            <w:tcW w:w="0" w:type="auto"/>
            <w:vAlign w:val="center"/>
          </w:tcPr>
          <w:p w:rsidR="00E57889" w:rsidRDefault="00F7094B">
            <w:pPr>
              <w:jc w:val="center"/>
            </w:pPr>
            <w:r>
              <w:rPr>
                <w:color w:val="000000"/>
                <w:kern w:val="0"/>
                <w:sz w:val="24"/>
                <w:szCs w:val="24"/>
              </w:rPr>
              <w:t>101801189</w:t>
            </w:r>
          </w:p>
        </w:tc>
        <w:tc>
          <w:tcPr>
            <w:tcW w:w="0" w:type="auto"/>
            <w:vAlign w:val="center"/>
          </w:tcPr>
          <w:p w:rsidR="00E57889" w:rsidRDefault="00F7094B">
            <w:pPr>
              <w:jc w:val="center"/>
            </w:pPr>
            <w:r>
              <w:rPr>
                <w:color w:val="000000"/>
                <w:kern w:val="0"/>
                <w:sz w:val="24"/>
                <w:szCs w:val="24"/>
              </w:rPr>
              <w:t>18</w:t>
            </w:r>
            <w:r>
              <w:rPr>
                <w:color w:val="000000"/>
                <w:kern w:val="0"/>
                <w:sz w:val="24"/>
                <w:szCs w:val="24"/>
              </w:rPr>
              <w:t>兖州煤业</w:t>
            </w:r>
            <w:r>
              <w:rPr>
                <w:color w:val="000000"/>
                <w:kern w:val="0"/>
                <w:sz w:val="24"/>
                <w:szCs w:val="24"/>
              </w:rPr>
              <w:t>MTN002</w:t>
            </w:r>
          </w:p>
        </w:tc>
        <w:tc>
          <w:tcPr>
            <w:tcW w:w="0" w:type="auto"/>
            <w:vAlign w:val="center"/>
          </w:tcPr>
          <w:p w:rsidR="00E57889" w:rsidRDefault="00F7094B">
            <w:pPr>
              <w:jc w:val="right"/>
            </w:pPr>
            <w:r>
              <w:rPr>
                <w:color w:val="000000"/>
                <w:kern w:val="0"/>
                <w:sz w:val="24"/>
                <w:szCs w:val="24"/>
              </w:rPr>
              <w:t>200,000</w:t>
            </w:r>
          </w:p>
        </w:tc>
        <w:tc>
          <w:tcPr>
            <w:tcW w:w="0" w:type="auto"/>
            <w:vAlign w:val="center"/>
          </w:tcPr>
          <w:p w:rsidR="00E57889" w:rsidRDefault="00F7094B">
            <w:pPr>
              <w:jc w:val="right"/>
            </w:pPr>
            <w:r>
              <w:rPr>
                <w:color w:val="000000"/>
                <w:kern w:val="0"/>
                <w:sz w:val="24"/>
                <w:szCs w:val="24"/>
              </w:rPr>
              <w:t>20,366,000.00</w:t>
            </w:r>
          </w:p>
        </w:tc>
        <w:tc>
          <w:tcPr>
            <w:tcW w:w="0" w:type="auto"/>
            <w:vAlign w:val="center"/>
          </w:tcPr>
          <w:p w:rsidR="00E57889" w:rsidRDefault="00F7094B">
            <w:pPr>
              <w:jc w:val="right"/>
            </w:pPr>
            <w:r>
              <w:rPr>
                <w:color w:val="000000"/>
                <w:kern w:val="0"/>
                <w:sz w:val="24"/>
                <w:szCs w:val="24"/>
              </w:rPr>
              <w:t>4.85</w:t>
            </w:r>
          </w:p>
        </w:tc>
      </w:tr>
      <w:tr w:rsidR="00E57889">
        <w:tc>
          <w:tcPr>
            <w:tcW w:w="0" w:type="auto"/>
            <w:vAlign w:val="center"/>
          </w:tcPr>
          <w:p w:rsidR="00E57889" w:rsidRDefault="00F7094B">
            <w:pPr>
              <w:jc w:val="center"/>
            </w:pPr>
            <w:r>
              <w:rPr>
                <w:color w:val="000000"/>
                <w:kern w:val="0"/>
                <w:sz w:val="24"/>
                <w:szCs w:val="24"/>
              </w:rPr>
              <w:t>3</w:t>
            </w:r>
          </w:p>
        </w:tc>
        <w:tc>
          <w:tcPr>
            <w:tcW w:w="0" w:type="auto"/>
            <w:vAlign w:val="center"/>
          </w:tcPr>
          <w:p w:rsidR="00E57889" w:rsidRDefault="00F7094B">
            <w:pPr>
              <w:jc w:val="center"/>
            </w:pPr>
            <w:r>
              <w:rPr>
                <w:color w:val="000000"/>
                <w:kern w:val="0"/>
                <w:sz w:val="24"/>
                <w:szCs w:val="24"/>
              </w:rPr>
              <w:t>101900886</w:t>
            </w:r>
          </w:p>
        </w:tc>
        <w:tc>
          <w:tcPr>
            <w:tcW w:w="0" w:type="auto"/>
            <w:vAlign w:val="center"/>
          </w:tcPr>
          <w:p w:rsidR="00E57889" w:rsidRDefault="00F7094B">
            <w:pPr>
              <w:jc w:val="center"/>
            </w:pPr>
            <w:r>
              <w:rPr>
                <w:color w:val="000000"/>
                <w:kern w:val="0"/>
                <w:sz w:val="24"/>
                <w:szCs w:val="24"/>
              </w:rPr>
              <w:t>19</w:t>
            </w:r>
            <w:r>
              <w:rPr>
                <w:color w:val="000000"/>
                <w:kern w:val="0"/>
                <w:sz w:val="24"/>
                <w:szCs w:val="24"/>
              </w:rPr>
              <w:t>新建元</w:t>
            </w:r>
            <w:r>
              <w:rPr>
                <w:color w:val="000000"/>
                <w:kern w:val="0"/>
                <w:sz w:val="24"/>
                <w:szCs w:val="24"/>
              </w:rPr>
              <w:t>MTN001</w:t>
            </w:r>
          </w:p>
        </w:tc>
        <w:tc>
          <w:tcPr>
            <w:tcW w:w="0" w:type="auto"/>
            <w:vAlign w:val="center"/>
          </w:tcPr>
          <w:p w:rsidR="00E57889" w:rsidRDefault="00F7094B">
            <w:pPr>
              <w:jc w:val="right"/>
            </w:pPr>
            <w:r>
              <w:rPr>
                <w:color w:val="000000"/>
                <w:kern w:val="0"/>
                <w:sz w:val="24"/>
                <w:szCs w:val="24"/>
              </w:rPr>
              <w:t>200,000</w:t>
            </w:r>
          </w:p>
        </w:tc>
        <w:tc>
          <w:tcPr>
            <w:tcW w:w="0" w:type="auto"/>
            <w:vAlign w:val="center"/>
          </w:tcPr>
          <w:p w:rsidR="00E57889" w:rsidRDefault="00F7094B">
            <w:pPr>
              <w:jc w:val="right"/>
            </w:pPr>
            <w:r>
              <w:rPr>
                <w:color w:val="000000"/>
                <w:kern w:val="0"/>
                <w:sz w:val="24"/>
                <w:szCs w:val="24"/>
              </w:rPr>
              <w:t>20,348,000.00</w:t>
            </w:r>
          </w:p>
        </w:tc>
        <w:tc>
          <w:tcPr>
            <w:tcW w:w="0" w:type="auto"/>
            <w:vAlign w:val="center"/>
          </w:tcPr>
          <w:p w:rsidR="00E57889" w:rsidRDefault="00F7094B">
            <w:pPr>
              <w:jc w:val="right"/>
            </w:pPr>
            <w:r>
              <w:rPr>
                <w:color w:val="000000"/>
                <w:kern w:val="0"/>
                <w:sz w:val="24"/>
                <w:szCs w:val="24"/>
              </w:rPr>
              <w:t>4.85</w:t>
            </w:r>
          </w:p>
        </w:tc>
      </w:tr>
      <w:tr w:rsidR="00E57889">
        <w:tc>
          <w:tcPr>
            <w:tcW w:w="0" w:type="auto"/>
            <w:vAlign w:val="center"/>
          </w:tcPr>
          <w:p w:rsidR="00E57889" w:rsidRDefault="00F7094B">
            <w:pPr>
              <w:jc w:val="center"/>
            </w:pPr>
            <w:r>
              <w:rPr>
                <w:color w:val="000000"/>
                <w:kern w:val="0"/>
                <w:sz w:val="24"/>
                <w:szCs w:val="24"/>
              </w:rPr>
              <w:t>4</w:t>
            </w:r>
          </w:p>
        </w:tc>
        <w:tc>
          <w:tcPr>
            <w:tcW w:w="0" w:type="auto"/>
            <w:vAlign w:val="center"/>
          </w:tcPr>
          <w:p w:rsidR="00E57889" w:rsidRDefault="00F7094B">
            <w:pPr>
              <w:jc w:val="center"/>
            </w:pPr>
            <w:r>
              <w:rPr>
                <w:color w:val="000000"/>
                <w:kern w:val="0"/>
                <w:sz w:val="24"/>
                <w:szCs w:val="24"/>
              </w:rPr>
              <w:t>101900456</w:t>
            </w:r>
          </w:p>
        </w:tc>
        <w:tc>
          <w:tcPr>
            <w:tcW w:w="0" w:type="auto"/>
            <w:vAlign w:val="center"/>
          </w:tcPr>
          <w:p w:rsidR="00E57889" w:rsidRDefault="00F7094B">
            <w:pPr>
              <w:jc w:val="center"/>
            </w:pPr>
            <w:r>
              <w:rPr>
                <w:color w:val="000000"/>
                <w:kern w:val="0"/>
                <w:sz w:val="24"/>
                <w:szCs w:val="24"/>
              </w:rPr>
              <w:t>19</w:t>
            </w:r>
            <w:r>
              <w:rPr>
                <w:color w:val="000000"/>
                <w:kern w:val="0"/>
                <w:sz w:val="24"/>
                <w:szCs w:val="24"/>
              </w:rPr>
              <w:t>首开</w:t>
            </w:r>
            <w:r>
              <w:rPr>
                <w:color w:val="000000"/>
                <w:kern w:val="0"/>
                <w:sz w:val="24"/>
                <w:szCs w:val="24"/>
              </w:rPr>
              <w:t>MTN001</w:t>
            </w:r>
          </w:p>
        </w:tc>
        <w:tc>
          <w:tcPr>
            <w:tcW w:w="0" w:type="auto"/>
            <w:vAlign w:val="center"/>
          </w:tcPr>
          <w:p w:rsidR="00E57889" w:rsidRDefault="00F7094B">
            <w:pPr>
              <w:jc w:val="right"/>
            </w:pPr>
            <w:r>
              <w:rPr>
                <w:color w:val="000000"/>
                <w:kern w:val="0"/>
                <w:sz w:val="24"/>
                <w:szCs w:val="24"/>
              </w:rPr>
              <w:t>200,000</w:t>
            </w:r>
          </w:p>
        </w:tc>
        <w:tc>
          <w:tcPr>
            <w:tcW w:w="0" w:type="auto"/>
            <w:vAlign w:val="center"/>
          </w:tcPr>
          <w:p w:rsidR="00E57889" w:rsidRDefault="00F7094B">
            <w:pPr>
              <w:jc w:val="right"/>
            </w:pPr>
            <w:r>
              <w:rPr>
                <w:color w:val="000000"/>
                <w:kern w:val="0"/>
                <w:sz w:val="24"/>
                <w:szCs w:val="24"/>
              </w:rPr>
              <w:t>20,334,000.00</w:t>
            </w:r>
          </w:p>
        </w:tc>
        <w:tc>
          <w:tcPr>
            <w:tcW w:w="0" w:type="auto"/>
            <w:vAlign w:val="center"/>
          </w:tcPr>
          <w:p w:rsidR="00E57889" w:rsidRDefault="00F7094B">
            <w:pPr>
              <w:jc w:val="right"/>
            </w:pPr>
            <w:r>
              <w:rPr>
                <w:color w:val="000000"/>
                <w:kern w:val="0"/>
                <w:sz w:val="24"/>
                <w:szCs w:val="24"/>
              </w:rPr>
              <w:t>4.85</w:t>
            </w:r>
          </w:p>
        </w:tc>
      </w:tr>
      <w:tr w:rsidR="00E57889">
        <w:tc>
          <w:tcPr>
            <w:tcW w:w="0" w:type="auto"/>
            <w:vAlign w:val="center"/>
          </w:tcPr>
          <w:p w:rsidR="00E57889" w:rsidRDefault="00F7094B">
            <w:pPr>
              <w:jc w:val="center"/>
            </w:pPr>
            <w:r>
              <w:rPr>
                <w:color w:val="000000"/>
                <w:kern w:val="0"/>
                <w:sz w:val="24"/>
                <w:szCs w:val="24"/>
              </w:rPr>
              <w:t>5</w:t>
            </w:r>
          </w:p>
        </w:tc>
        <w:tc>
          <w:tcPr>
            <w:tcW w:w="0" w:type="auto"/>
            <w:vAlign w:val="center"/>
          </w:tcPr>
          <w:p w:rsidR="00E57889" w:rsidRDefault="00F7094B">
            <w:pPr>
              <w:jc w:val="center"/>
            </w:pPr>
            <w:r>
              <w:rPr>
                <w:color w:val="000000"/>
                <w:kern w:val="0"/>
                <w:sz w:val="24"/>
                <w:szCs w:val="24"/>
              </w:rPr>
              <w:t>101900833</w:t>
            </w:r>
          </w:p>
        </w:tc>
        <w:tc>
          <w:tcPr>
            <w:tcW w:w="0" w:type="auto"/>
            <w:vAlign w:val="center"/>
          </w:tcPr>
          <w:p w:rsidR="00E57889" w:rsidRDefault="00F7094B">
            <w:pPr>
              <w:jc w:val="center"/>
            </w:pPr>
            <w:r>
              <w:rPr>
                <w:color w:val="000000"/>
                <w:kern w:val="0"/>
                <w:sz w:val="24"/>
                <w:szCs w:val="24"/>
              </w:rPr>
              <w:t>19</w:t>
            </w:r>
            <w:r>
              <w:rPr>
                <w:color w:val="000000"/>
                <w:kern w:val="0"/>
                <w:sz w:val="24"/>
                <w:szCs w:val="24"/>
              </w:rPr>
              <w:t>河钢集</w:t>
            </w:r>
            <w:r>
              <w:rPr>
                <w:color w:val="000000"/>
                <w:kern w:val="0"/>
                <w:sz w:val="24"/>
                <w:szCs w:val="24"/>
              </w:rPr>
              <w:t>MTN004</w:t>
            </w:r>
          </w:p>
        </w:tc>
        <w:tc>
          <w:tcPr>
            <w:tcW w:w="0" w:type="auto"/>
            <w:vAlign w:val="center"/>
          </w:tcPr>
          <w:p w:rsidR="00E57889" w:rsidRDefault="00F7094B">
            <w:pPr>
              <w:jc w:val="right"/>
            </w:pPr>
            <w:r>
              <w:rPr>
                <w:color w:val="000000"/>
                <w:kern w:val="0"/>
                <w:sz w:val="24"/>
                <w:szCs w:val="24"/>
              </w:rPr>
              <w:t>200,000</w:t>
            </w:r>
          </w:p>
        </w:tc>
        <w:tc>
          <w:tcPr>
            <w:tcW w:w="0" w:type="auto"/>
            <w:vAlign w:val="center"/>
          </w:tcPr>
          <w:p w:rsidR="00E57889" w:rsidRDefault="00F7094B">
            <w:pPr>
              <w:jc w:val="right"/>
            </w:pPr>
            <w:r>
              <w:rPr>
                <w:color w:val="000000"/>
                <w:kern w:val="0"/>
                <w:sz w:val="24"/>
                <w:szCs w:val="24"/>
              </w:rPr>
              <w:t>20,260,000.00</w:t>
            </w:r>
          </w:p>
        </w:tc>
        <w:tc>
          <w:tcPr>
            <w:tcW w:w="0" w:type="auto"/>
            <w:vAlign w:val="center"/>
          </w:tcPr>
          <w:p w:rsidR="00E57889" w:rsidRDefault="00F7094B">
            <w:pPr>
              <w:jc w:val="right"/>
            </w:pPr>
            <w:r>
              <w:rPr>
                <w:color w:val="000000"/>
                <w:kern w:val="0"/>
                <w:sz w:val="24"/>
                <w:szCs w:val="24"/>
              </w:rPr>
              <w:t>4.83</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802"/>
        <w:gridCol w:w="1742"/>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证券代码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证券名称</w:t>
            </w:r>
          </w:p>
        </w:tc>
        <w:tc>
          <w:tcPr>
            <w:tcW w:w="1802"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（份）</w:t>
            </w:r>
          </w:p>
        </w:tc>
        <w:tc>
          <w:tcPr>
            <w:tcW w:w="1742"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E57889">
        <w:tc>
          <w:tcPr>
            <w:tcW w:w="0" w:type="auto"/>
            <w:vAlign w:val="center"/>
          </w:tcPr>
          <w:p w:rsidR="00E57889" w:rsidRDefault="00F7094B">
            <w:pPr>
              <w:jc w:val="center"/>
            </w:pPr>
            <w:r>
              <w:rPr>
                <w:color w:val="000000"/>
                <w:kern w:val="0"/>
                <w:sz w:val="24"/>
                <w:szCs w:val="24"/>
              </w:rPr>
              <w:t>1</w:t>
            </w:r>
          </w:p>
        </w:tc>
        <w:tc>
          <w:tcPr>
            <w:tcW w:w="0" w:type="auto"/>
            <w:vAlign w:val="center"/>
          </w:tcPr>
          <w:p w:rsidR="00E57889" w:rsidRDefault="00F7094B">
            <w:pPr>
              <w:jc w:val="center"/>
            </w:pPr>
            <w:r>
              <w:rPr>
                <w:color w:val="000000"/>
                <w:kern w:val="0"/>
                <w:sz w:val="24"/>
                <w:szCs w:val="24"/>
              </w:rPr>
              <w:t>139934</w:t>
            </w:r>
          </w:p>
        </w:tc>
        <w:tc>
          <w:tcPr>
            <w:tcW w:w="0" w:type="auto"/>
            <w:vAlign w:val="center"/>
          </w:tcPr>
          <w:p w:rsidR="00E57889" w:rsidRDefault="00F7094B">
            <w:pPr>
              <w:jc w:val="center"/>
            </w:pPr>
            <w:r>
              <w:rPr>
                <w:color w:val="000000"/>
                <w:kern w:val="0"/>
                <w:sz w:val="24"/>
                <w:szCs w:val="24"/>
              </w:rPr>
              <w:t>永熙优</w:t>
            </w:r>
            <w:r>
              <w:rPr>
                <w:color w:val="000000"/>
                <w:kern w:val="0"/>
                <w:sz w:val="24"/>
                <w:szCs w:val="24"/>
              </w:rPr>
              <w:t>12</w:t>
            </w:r>
          </w:p>
        </w:tc>
        <w:tc>
          <w:tcPr>
            <w:tcW w:w="0" w:type="auto"/>
            <w:vAlign w:val="center"/>
          </w:tcPr>
          <w:p w:rsidR="00E57889" w:rsidRDefault="00F7094B">
            <w:pPr>
              <w:jc w:val="right"/>
            </w:pPr>
            <w:r>
              <w:rPr>
                <w:color w:val="000000"/>
                <w:kern w:val="0"/>
                <w:sz w:val="24"/>
                <w:szCs w:val="24"/>
              </w:rPr>
              <w:t>100,000</w:t>
            </w:r>
          </w:p>
        </w:tc>
        <w:tc>
          <w:tcPr>
            <w:tcW w:w="0" w:type="auto"/>
            <w:vAlign w:val="center"/>
          </w:tcPr>
          <w:p w:rsidR="00E57889" w:rsidRDefault="00F7094B">
            <w:pPr>
              <w:jc w:val="right"/>
            </w:pPr>
            <w:r>
              <w:rPr>
                <w:color w:val="000000"/>
                <w:kern w:val="0"/>
                <w:sz w:val="24"/>
                <w:szCs w:val="24"/>
              </w:rPr>
              <w:t>10,026,000.00</w:t>
            </w:r>
          </w:p>
        </w:tc>
        <w:tc>
          <w:tcPr>
            <w:tcW w:w="0" w:type="auto"/>
            <w:vAlign w:val="center"/>
          </w:tcPr>
          <w:p w:rsidR="00E57889" w:rsidRDefault="00F7094B">
            <w:pPr>
              <w:jc w:val="right"/>
            </w:pPr>
            <w:r>
              <w:rPr>
                <w:color w:val="000000"/>
                <w:kern w:val="0"/>
                <w:sz w:val="24"/>
                <w:szCs w:val="24"/>
              </w:rPr>
              <w:t>2.39</w:t>
            </w:r>
          </w:p>
        </w:tc>
      </w:tr>
    </w:tbl>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5.11.119首开MTN001（代码：101900456）是易方达瑞景灵活配置混合型证券投资基金的前十大持仓证券。2019年7月2日、7月12日，北京市住建委对北京首都开发股份有限公司的如下违法违规行为作出“责令你单位15日之内改正，对你单位处以警告”的行政处罚决定：北京首都开发股份有限公司在与买受人签订朝阳区西甸路3号院12号楼-1至3层4商品房、朝阳区西甸路3号院15号院-1至3层6商品房、朝阳区西甸路3号院4号楼5层501商品房、朝阳区西甸路3号院9号楼-1至3层1商品房、朝阳区西甸路3号院4号楼2层201商品房、朝阳区西甸路3号院14号楼-1至3层3商品房、朝阳区西甸路3号院3号楼4层401商品房、朝阳区西甸路3号院1号楼4层401商品房、朝阳区西甸路3号院11号楼-1至3层4商品房的《北京市商品房现房买卖合同》前，未按照规定向买受人明示《商品房销售管理办法》。</w:t>
      </w:r>
    </w:p>
    <w:p w:rsidR="00E57889" w:rsidRDefault="00F7094B">
      <w:pPr>
        <w:spacing w:line="360" w:lineRule="auto"/>
        <w:rPr>
          <w:rFonts w:ascii="宋体" w:hAnsi="宋体"/>
          <w:color w:val="000000"/>
          <w:sz w:val="24"/>
          <w:szCs w:val="24"/>
        </w:rPr>
      </w:pPr>
      <w:r>
        <w:rPr>
          <w:rFonts w:ascii="宋体" w:hAnsi="宋体"/>
          <w:color w:val="000000"/>
          <w:sz w:val="24"/>
          <w:szCs w:val="24"/>
        </w:rPr>
        <w:t>本基金投资</w:t>
      </w:r>
      <w:r>
        <w:rPr>
          <w:rFonts w:ascii="宋体" w:hAnsi="宋体"/>
          <w:color w:val="000000"/>
          <w:sz w:val="24"/>
          <w:szCs w:val="24"/>
        </w:rPr>
        <w:t>19</w:t>
      </w:r>
      <w:r>
        <w:rPr>
          <w:rFonts w:ascii="宋体" w:hAnsi="宋体"/>
          <w:color w:val="000000"/>
          <w:sz w:val="24"/>
          <w:szCs w:val="24"/>
        </w:rPr>
        <w:t>首开</w:t>
      </w:r>
      <w:r>
        <w:rPr>
          <w:rFonts w:ascii="宋体" w:hAnsi="宋体"/>
          <w:color w:val="000000"/>
          <w:sz w:val="24"/>
          <w:szCs w:val="24"/>
        </w:rPr>
        <w:t>MTN001</w:t>
      </w:r>
      <w:r>
        <w:rPr>
          <w:rFonts w:ascii="宋体" w:hAnsi="宋体"/>
          <w:color w:val="000000"/>
          <w:sz w:val="24"/>
          <w:szCs w:val="24"/>
        </w:rPr>
        <w:t>的投资决策程序符合公司投资制度的规定。</w:t>
      </w:r>
    </w:p>
    <w:p w:rsidR="00E57889" w:rsidRDefault="00F7094B">
      <w:pPr>
        <w:spacing w:line="360" w:lineRule="auto"/>
        <w:rPr>
          <w:rFonts w:ascii="宋体" w:hAnsi="宋体"/>
          <w:color w:val="000000"/>
          <w:sz w:val="24"/>
          <w:szCs w:val="24"/>
        </w:rPr>
      </w:pPr>
      <w:r>
        <w:rPr>
          <w:rFonts w:ascii="宋体" w:hAnsi="宋体"/>
          <w:color w:val="000000"/>
          <w:sz w:val="24"/>
          <w:szCs w:val="24"/>
        </w:rPr>
        <w:t>除</w:t>
      </w:r>
      <w:r>
        <w:rPr>
          <w:rFonts w:ascii="宋体" w:hAnsi="宋体"/>
          <w:color w:val="000000"/>
          <w:sz w:val="24"/>
          <w:szCs w:val="24"/>
        </w:rPr>
        <w:t>19</w:t>
      </w:r>
      <w:r>
        <w:rPr>
          <w:rFonts w:ascii="宋体" w:hAnsi="宋体"/>
          <w:color w:val="000000"/>
          <w:sz w:val="24"/>
          <w:szCs w:val="24"/>
        </w:rPr>
        <w:t>首开</w:t>
      </w:r>
      <w:r>
        <w:rPr>
          <w:rFonts w:ascii="宋体" w:hAnsi="宋体"/>
          <w:color w:val="000000"/>
          <w:sz w:val="24"/>
          <w:szCs w:val="24"/>
        </w:rPr>
        <w:t>MTN001</w:t>
      </w:r>
      <w:r>
        <w:rPr>
          <w:rFonts w:ascii="宋体" w:hAnsi="宋体"/>
          <w:color w:val="000000"/>
          <w:sz w:val="24"/>
          <w:szCs w:val="24"/>
        </w:rPr>
        <w:t>以外，本基金投资的前十名证券的发行主体本期没有出现被监管部门立案调查，或在报告编制日前一年内受到公开谴责、处罚的情形。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47,908.49</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6,183,024.67</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93,926.92</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6,324,860.08</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316,334,355.18</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114,975,504.65</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117,989,569.46</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313,320,290.37</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4B7A92" w:rsidRPr="004B7A92" w:rsidRDefault="00013E6E" w:rsidP="004B7A92">
      <w:pPr>
        <w:pStyle w:val="1"/>
        <w:spacing w:beforeLines="100" w:before="312" w:afterLines="100" w:after="312" w:line="360" w:lineRule="auto"/>
        <w:jc w:val="center"/>
        <w:rPr>
          <w:rFonts w:ascii="宋体" w:hAnsi="宋体"/>
          <w:color w:val="000000"/>
          <w:kern w:val="0"/>
          <w:sz w:val="24"/>
          <w:szCs w:val="24"/>
        </w:rPr>
      </w:pPr>
      <w:r w:rsidRPr="00264E55">
        <w:rPr>
          <w:rFonts w:ascii="宋体" w:hAnsi="宋体" w:hint="eastAsia"/>
          <w:color w:val="000000"/>
          <w:kern w:val="0"/>
          <w:sz w:val="24"/>
          <w:szCs w:val="24"/>
        </w:rPr>
        <w:t>§</w:t>
      </w:r>
      <w:r w:rsidR="004B7A92" w:rsidRPr="004B7A92">
        <w:rPr>
          <w:rFonts w:ascii="宋体" w:hAnsi="宋体"/>
          <w:color w:val="000000"/>
          <w:kern w:val="0"/>
          <w:sz w:val="24"/>
          <w:szCs w:val="24"/>
        </w:rPr>
        <w:t>8</w:t>
      </w:r>
      <w:r w:rsidR="0043199A" w:rsidRPr="00264E55">
        <w:rPr>
          <w:rFonts w:ascii="宋体" w:hAnsi="宋体"/>
          <w:color w:val="000000"/>
          <w:kern w:val="0"/>
          <w:sz w:val="24"/>
          <w:szCs w:val="24"/>
        </w:rPr>
        <w:t xml:space="preserve">  </w:t>
      </w:r>
      <w:r w:rsidR="004B7A92" w:rsidRPr="004B7A92">
        <w:rPr>
          <w:rFonts w:ascii="宋体" w:hAnsi="宋体"/>
          <w:color w:val="000000"/>
          <w:kern w:val="0"/>
          <w:sz w:val="24"/>
          <w:szCs w:val="24"/>
        </w:rPr>
        <w:t>影响投资者决策的其他重要信息</w:t>
      </w:r>
    </w:p>
    <w:p w:rsidR="001F5F5D" w:rsidRPr="001F5F5D" w:rsidRDefault="001F5F5D" w:rsidP="001F5F5D">
      <w:pPr>
        <w:autoSpaceDE w:val="0"/>
        <w:autoSpaceDN w:val="0"/>
        <w:adjustRightInd w:val="0"/>
        <w:spacing w:line="360" w:lineRule="auto"/>
        <w:jc w:val="left"/>
        <w:rPr>
          <w:rFonts w:ascii="宋体"/>
          <w:b/>
          <w:bCs/>
          <w:color w:val="000000"/>
          <w:kern w:val="0"/>
          <w:sz w:val="24"/>
          <w:szCs w:val="24"/>
        </w:rPr>
      </w:pPr>
      <w:r w:rsidRPr="001F5F5D">
        <w:rPr>
          <w:rFonts w:ascii="宋体"/>
          <w:b/>
          <w:bCs/>
          <w:color w:val="000000"/>
          <w:kern w:val="0"/>
          <w:sz w:val="24"/>
          <w:szCs w:val="24"/>
        </w:rPr>
        <w:t>8.1 报告期内单一投资者持有基金份额比例达到或超过20%的情况</w:t>
      </w:r>
    </w:p>
    <w:tbl>
      <w:tblPr>
        <w:tblStyle w:val="af7"/>
        <w:tblW w:w="9640" w:type="dxa"/>
        <w:jc w:val="center"/>
        <w:tblLayout w:type="fixed"/>
        <w:tblLook w:val="04A0" w:firstRow="1" w:lastRow="0" w:firstColumn="1" w:lastColumn="0" w:noHBand="0" w:noVBand="1"/>
      </w:tblPr>
      <w:tblGrid>
        <w:gridCol w:w="1798"/>
        <w:gridCol w:w="709"/>
        <w:gridCol w:w="1985"/>
        <w:gridCol w:w="1134"/>
        <w:gridCol w:w="992"/>
        <w:gridCol w:w="1134"/>
        <w:gridCol w:w="1037"/>
        <w:gridCol w:w="848"/>
        <w:gridCol w:w="3"/>
      </w:tblGrid>
      <w:tr w:rsidR="001F5F5D" w:rsidRPr="00FC0759" w:rsidTr="007125DB">
        <w:trPr>
          <w:jc w:val="center"/>
        </w:trPr>
        <w:tc>
          <w:tcPr>
            <w:tcW w:w="1798" w:type="dxa"/>
            <w:vMerge w:val="restart"/>
            <w:vAlign w:val="center"/>
          </w:tcPr>
          <w:p w:rsidR="001F5F5D" w:rsidRPr="00FC0759" w:rsidRDefault="001F5F5D" w:rsidP="00D9482C">
            <w:pPr>
              <w:autoSpaceDE w:val="0"/>
              <w:autoSpaceDN w:val="0"/>
              <w:adjustRightInd w:val="0"/>
              <w:jc w:val="center"/>
              <w:rPr>
                <w:rFonts w:eastAsiaTheme="minorEastAsia"/>
                <w:b/>
                <w:bCs/>
                <w:color w:val="000000" w:themeColor="text1"/>
                <w:sz w:val="24"/>
                <w:szCs w:val="24"/>
              </w:rPr>
            </w:pPr>
            <w:r w:rsidRPr="00FC0759">
              <w:rPr>
                <w:color w:val="000000"/>
                <w:sz w:val="24"/>
                <w:szCs w:val="24"/>
              </w:rPr>
              <w:t>投资者类别</w:t>
            </w:r>
          </w:p>
        </w:tc>
        <w:tc>
          <w:tcPr>
            <w:tcW w:w="5954" w:type="dxa"/>
            <w:gridSpan w:val="5"/>
            <w:vAlign w:val="center"/>
          </w:tcPr>
          <w:p w:rsidR="001F5F5D" w:rsidRPr="00FC0759" w:rsidRDefault="001F5F5D" w:rsidP="00D9482C">
            <w:pPr>
              <w:autoSpaceDE w:val="0"/>
              <w:autoSpaceDN w:val="0"/>
              <w:adjustRightInd w:val="0"/>
              <w:ind w:firstLine="1126"/>
              <w:jc w:val="center"/>
              <w:rPr>
                <w:rFonts w:eastAsiaTheme="minorEastAsia"/>
                <w:b/>
                <w:bCs/>
                <w:color w:val="000000" w:themeColor="text1"/>
                <w:sz w:val="24"/>
                <w:szCs w:val="24"/>
              </w:rPr>
            </w:pPr>
            <w:r w:rsidRPr="00FC0759">
              <w:rPr>
                <w:color w:val="000000"/>
                <w:sz w:val="24"/>
                <w:szCs w:val="24"/>
              </w:rPr>
              <w:t>报告期内持有基金份额变化情况</w:t>
            </w:r>
          </w:p>
        </w:tc>
        <w:tc>
          <w:tcPr>
            <w:tcW w:w="1888" w:type="dxa"/>
            <w:gridSpan w:val="3"/>
            <w:vAlign w:val="center"/>
          </w:tcPr>
          <w:p w:rsidR="001F5F5D" w:rsidRPr="00FC0759" w:rsidRDefault="001F5F5D" w:rsidP="00D9482C">
            <w:pPr>
              <w:autoSpaceDE w:val="0"/>
              <w:autoSpaceDN w:val="0"/>
              <w:adjustRightInd w:val="0"/>
              <w:jc w:val="center"/>
              <w:rPr>
                <w:rFonts w:eastAsiaTheme="minorEastAsia"/>
                <w:b/>
                <w:bCs/>
                <w:color w:val="000000" w:themeColor="text1"/>
                <w:sz w:val="24"/>
                <w:szCs w:val="24"/>
              </w:rPr>
            </w:pPr>
            <w:r w:rsidRPr="00FC0759">
              <w:rPr>
                <w:color w:val="000000"/>
                <w:sz w:val="24"/>
                <w:szCs w:val="24"/>
              </w:rPr>
              <w:t>报告期末持有基金情况</w:t>
            </w:r>
          </w:p>
        </w:tc>
      </w:tr>
      <w:tr w:rsidR="001F5F5D" w:rsidRPr="00FC0759" w:rsidTr="007125DB">
        <w:trPr>
          <w:jc w:val="center"/>
        </w:trPr>
        <w:tc>
          <w:tcPr>
            <w:tcW w:w="1798" w:type="dxa"/>
            <w:vMerge/>
            <w:vAlign w:val="center"/>
          </w:tcPr>
          <w:p w:rsidR="001F5F5D" w:rsidRPr="00FC0759" w:rsidRDefault="001F5F5D" w:rsidP="00D9482C">
            <w:pPr>
              <w:autoSpaceDE w:val="0"/>
              <w:autoSpaceDN w:val="0"/>
              <w:adjustRightInd w:val="0"/>
              <w:ind w:firstLine="1234"/>
              <w:jc w:val="center"/>
              <w:rPr>
                <w:rFonts w:eastAsiaTheme="minorEastAsia"/>
                <w:b/>
                <w:bCs/>
                <w:color w:val="000000" w:themeColor="text1"/>
                <w:sz w:val="24"/>
                <w:szCs w:val="24"/>
              </w:rPr>
            </w:pPr>
          </w:p>
        </w:tc>
        <w:tc>
          <w:tcPr>
            <w:tcW w:w="709" w:type="dxa"/>
            <w:vAlign w:val="center"/>
          </w:tcPr>
          <w:p w:rsidR="001F5F5D" w:rsidRPr="00FC0759" w:rsidRDefault="001F5F5D" w:rsidP="00D9482C">
            <w:pPr>
              <w:autoSpaceDE w:val="0"/>
              <w:autoSpaceDN w:val="0"/>
              <w:adjustRightInd w:val="0"/>
              <w:jc w:val="center"/>
              <w:rPr>
                <w:rFonts w:eastAsiaTheme="minorEastAsia"/>
                <w:b/>
                <w:bCs/>
                <w:color w:val="000000" w:themeColor="text1"/>
                <w:sz w:val="24"/>
                <w:szCs w:val="24"/>
              </w:rPr>
            </w:pPr>
            <w:r w:rsidRPr="00FC0759">
              <w:rPr>
                <w:color w:val="000000"/>
                <w:sz w:val="24"/>
                <w:szCs w:val="24"/>
              </w:rPr>
              <w:t>序号</w:t>
            </w:r>
          </w:p>
        </w:tc>
        <w:tc>
          <w:tcPr>
            <w:tcW w:w="1985" w:type="dxa"/>
            <w:vAlign w:val="center"/>
          </w:tcPr>
          <w:p w:rsidR="001F5F5D" w:rsidRPr="00FC0759" w:rsidRDefault="001F5F5D" w:rsidP="00D9482C">
            <w:pPr>
              <w:autoSpaceDE w:val="0"/>
              <w:autoSpaceDN w:val="0"/>
              <w:adjustRightInd w:val="0"/>
              <w:jc w:val="center"/>
              <w:rPr>
                <w:rFonts w:eastAsiaTheme="minorEastAsia"/>
                <w:b/>
                <w:bCs/>
                <w:color w:val="000000" w:themeColor="text1"/>
                <w:sz w:val="24"/>
                <w:szCs w:val="24"/>
              </w:rPr>
            </w:pPr>
            <w:r w:rsidRPr="00FC0759">
              <w:rPr>
                <w:color w:val="000000"/>
                <w:sz w:val="24"/>
                <w:szCs w:val="24"/>
              </w:rPr>
              <w:t>持有基金份额比例达到或者超过</w:t>
            </w:r>
            <w:r w:rsidRPr="00FC0759">
              <w:rPr>
                <w:color w:val="000000"/>
                <w:sz w:val="24"/>
                <w:szCs w:val="24"/>
              </w:rPr>
              <w:t>20%</w:t>
            </w:r>
            <w:r w:rsidRPr="00FC0759">
              <w:rPr>
                <w:color w:val="000000"/>
                <w:sz w:val="24"/>
                <w:szCs w:val="24"/>
              </w:rPr>
              <w:t>的时间区间</w:t>
            </w:r>
          </w:p>
        </w:tc>
        <w:tc>
          <w:tcPr>
            <w:tcW w:w="1134" w:type="dxa"/>
            <w:vAlign w:val="center"/>
          </w:tcPr>
          <w:p w:rsidR="001F5F5D" w:rsidRPr="00FC0759" w:rsidRDefault="001F5F5D" w:rsidP="00D9482C">
            <w:pPr>
              <w:widowControl/>
              <w:rPr>
                <w:rFonts w:eastAsiaTheme="minorEastAsia"/>
                <w:b/>
                <w:bCs/>
                <w:color w:val="000000" w:themeColor="text1"/>
                <w:sz w:val="24"/>
                <w:szCs w:val="24"/>
              </w:rPr>
            </w:pPr>
            <w:r w:rsidRPr="00FC0759">
              <w:rPr>
                <w:color w:val="000000"/>
                <w:sz w:val="24"/>
                <w:szCs w:val="24"/>
              </w:rPr>
              <w:t>期初份额</w:t>
            </w:r>
          </w:p>
        </w:tc>
        <w:tc>
          <w:tcPr>
            <w:tcW w:w="992" w:type="dxa"/>
            <w:vAlign w:val="center"/>
          </w:tcPr>
          <w:p w:rsidR="001F5F5D" w:rsidRPr="00FC0759" w:rsidRDefault="001F5F5D" w:rsidP="00D9482C">
            <w:pPr>
              <w:widowControl/>
              <w:rPr>
                <w:rFonts w:eastAsiaTheme="minorEastAsia"/>
                <w:b/>
                <w:bCs/>
                <w:color w:val="000000" w:themeColor="text1"/>
                <w:sz w:val="24"/>
                <w:szCs w:val="24"/>
              </w:rPr>
            </w:pPr>
            <w:r w:rsidRPr="00FC0759">
              <w:rPr>
                <w:color w:val="000000"/>
                <w:sz w:val="24"/>
                <w:szCs w:val="24"/>
              </w:rPr>
              <w:t>申购份额</w:t>
            </w:r>
          </w:p>
        </w:tc>
        <w:tc>
          <w:tcPr>
            <w:tcW w:w="1134" w:type="dxa"/>
            <w:vAlign w:val="center"/>
          </w:tcPr>
          <w:p w:rsidR="001F5F5D" w:rsidRPr="00FC0759" w:rsidRDefault="001F5F5D" w:rsidP="00D9482C">
            <w:pPr>
              <w:widowControl/>
              <w:rPr>
                <w:rFonts w:eastAsiaTheme="minorEastAsia"/>
                <w:b/>
                <w:bCs/>
                <w:color w:val="000000" w:themeColor="text1"/>
                <w:sz w:val="24"/>
                <w:szCs w:val="24"/>
              </w:rPr>
            </w:pPr>
            <w:r w:rsidRPr="00FC0759">
              <w:rPr>
                <w:color w:val="000000"/>
                <w:sz w:val="24"/>
                <w:szCs w:val="24"/>
              </w:rPr>
              <w:t>赎回份额</w:t>
            </w:r>
          </w:p>
        </w:tc>
        <w:tc>
          <w:tcPr>
            <w:tcW w:w="1037" w:type="dxa"/>
            <w:vAlign w:val="center"/>
          </w:tcPr>
          <w:p w:rsidR="001F5F5D" w:rsidRPr="00FC0759" w:rsidRDefault="001F5F5D" w:rsidP="00D9482C">
            <w:pPr>
              <w:autoSpaceDE w:val="0"/>
              <w:autoSpaceDN w:val="0"/>
              <w:adjustRightInd w:val="0"/>
              <w:jc w:val="center"/>
              <w:rPr>
                <w:rFonts w:eastAsiaTheme="minorEastAsia"/>
                <w:b/>
                <w:bCs/>
                <w:color w:val="000000" w:themeColor="text1"/>
                <w:sz w:val="24"/>
                <w:szCs w:val="24"/>
              </w:rPr>
            </w:pPr>
            <w:r w:rsidRPr="00FC0759">
              <w:rPr>
                <w:color w:val="000000"/>
                <w:sz w:val="24"/>
                <w:szCs w:val="24"/>
              </w:rPr>
              <w:t>持有份额</w:t>
            </w:r>
          </w:p>
        </w:tc>
        <w:tc>
          <w:tcPr>
            <w:tcW w:w="851" w:type="dxa"/>
            <w:gridSpan w:val="2"/>
            <w:vAlign w:val="center"/>
          </w:tcPr>
          <w:p w:rsidR="001F5F5D" w:rsidRPr="00FC0759" w:rsidRDefault="001F5F5D" w:rsidP="00D9482C">
            <w:pPr>
              <w:autoSpaceDE w:val="0"/>
              <w:autoSpaceDN w:val="0"/>
              <w:adjustRightInd w:val="0"/>
              <w:jc w:val="center"/>
              <w:rPr>
                <w:rFonts w:eastAsiaTheme="minorEastAsia"/>
                <w:b/>
                <w:bCs/>
                <w:color w:val="000000" w:themeColor="text1"/>
                <w:sz w:val="24"/>
                <w:szCs w:val="24"/>
              </w:rPr>
            </w:pPr>
            <w:r w:rsidRPr="00FC0759">
              <w:rPr>
                <w:color w:val="000000"/>
                <w:sz w:val="24"/>
                <w:szCs w:val="24"/>
              </w:rPr>
              <w:t>份额占比</w:t>
            </w:r>
          </w:p>
        </w:tc>
      </w:tr>
      <w:tr w:rsidR="00E57889">
        <w:trPr>
          <w:jc w:val="center"/>
        </w:trPr>
        <w:tc>
          <w:tcPr>
            <w:tcW w:w="0" w:type="auto"/>
            <w:vMerge w:val="restart"/>
            <w:vAlign w:val="center"/>
          </w:tcPr>
          <w:p w:rsidR="00E57889" w:rsidRDefault="00F7094B">
            <w:r>
              <w:rPr>
                <w:rFonts w:eastAsiaTheme="minorEastAsia"/>
                <w:bCs/>
                <w:color w:val="000000" w:themeColor="text1"/>
                <w:sz w:val="24"/>
                <w:szCs w:val="24"/>
              </w:rPr>
              <w:t>机构</w:t>
            </w:r>
          </w:p>
        </w:tc>
        <w:tc>
          <w:tcPr>
            <w:tcW w:w="0" w:type="auto"/>
            <w:vAlign w:val="center"/>
          </w:tcPr>
          <w:p w:rsidR="00E57889" w:rsidRDefault="00F7094B">
            <w:pPr>
              <w:jc w:val="center"/>
            </w:pPr>
            <w:r>
              <w:rPr>
                <w:sz w:val="24"/>
                <w:szCs w:val="24"/>
              </w:rPr>
              <w:t>1</w:t>
            </w:r>
          </w:p>
        </w:tc>
        <w:tc>
          <w:tcPr>
            <w:tcW w:w="0" w:type="auto"/>
            <w:vAlign w:val="center"/>
          </w:tcPr>
          <w:p w:rsidR="00E57889" w:rsidRDefault="00F7094B">
            <w:pPr>
              <w:jc w:val="center"/>
            </w:pPr>
            <w:r>
              <w:rPr>
                <w:sz w:val="24"/>
                <w:szCs w:val="24"/>
              </w:rPr>
              <w:t>2019</w:t>
            </w:r>
            <w:r>
              <w:rPr>
                <w:sz w:val="24"/>
                <w:szCs w:val="24"/>
              </w:rPr>
              <w:t>年</w:t>
            </w:r>
            <w:r>
              <w:rPr>
                <w:sz w:val="24"/>
                <w:szCs w:val="24"/>
              </w:rPr>
              <w:t>10</w:t>
            </w:r>
            <w:r>
              <w:rPr>
                <w:sz w:val="24"/>
                <w:szCs w:val="24"/>
              </w:rPr>
              <w:t>月</w:t>
            </w:r>
            <w:r>
              <w:rPr>
                <w:sz w:val="24"/>
                <w:szCs w:val="24"/>
              </w:rPr>
              <w:t>01</w:t>
            </w:r>
            <w:r>
              <w:rPr>
                <w:sz w:val="24"/>
                <w:szCs w:val="24"/>
              </w:rPr>
              <w:t>日</w:t>
            </w:r>
            <w:r>
              <w:rPr>
                <w:sz w:val="24"/>
                <w:szCs w:val="24"/>
              </w:rPr>
              <w:t>~2019</w:t>
            </w:r>
            <w:r>
              <w:rPr>
                <w:sz w:val="24"/>
                <w:szCs w:val="24"/>
              </w:rPr>
              <w:t>年</w:t>
            </w:r>
            <w:r>
              <w:rPr>
                <w:sz w:val="24"/>
                <w:szCs w:val="24"/>
              </w:rPr>
              <w:t>10</w:t>
            </w:r>
            <w:r>
              <w:rPr>
                <w:sz w:val="24"/>
                <w:szCs w:val="24"/>
              </w:rPr>
              <w:t>月</w:t>
            </w:r>
            <w:r>
              <w:rPr>
                <w:sz w:val="24"/>
                <w:szCs w:val="24"/>
              </w:rPr>
              <w:t>21</w:t>
            </w:r>
            <w:r>
              <w:rPr>
                <w:sz w:val="24"/>
                <w:szCs w:val="24"/>
              </w:rPr>
              <w:t>日</w:t>
            </w:r>
            <w:r>
              <w:rPr>
                <w:sz w:val="24"/>
                <w:szCs w:val="24"/>
              </w:rPr>
              <w:t>,2019</w:t>
            </w:r>
            <w:r>
              <w:rPr>
                <w:sz w:val="24"/>
                <w:szCs w:val="24"/>
              </w:rPr>
              <w:t>年</w:t>
            </w:r>
            <w:r>
              <w:rPr>
                <w:sz w:val="24"/>
                <w:szCs w:val="24"/>
              </w:rPr>
              <w:t>11</w:t>
            </w:r>
            <w:r>
              <w:rPr>
                <w:sz w:val="24"/>
                <w:szCs w:val="24"/>
              </w:rPr>
              <w:t>月</w:t>
            </w:r>
            <w:r>
              <w:rPr>
                <w:sz w:val="24"/>
                <w:szCs w:val="24"/>
              </w:rPr>
              <w:t>21</w:t>
            </w:r>
            <w:r>
              <w:rPr>
                <w:sz w:val="24"/>
                <w:szCs w:val="24"/>
              </w:rPr>
              <w:t>日</w:t>
            </w:r>
          </w:p>
        </w:tc>
        <w:tc>
          <w:tcPr>
            <w:tcW w:w="0" w:type="auto"/>
            <w:vAlign w:val="center"/>
          </w:tcPr>
          <w:p w:rsidR="00E57889" w:rsidRDefault="00F7094B">
            <w:pPr>
              <w:jc w:val="center"/>
            </w:pPr>
            <w:r>
              <w:rPr>
                <w:sz w:val="24"/>
                <w:szCs w:val="24"/>
              </w:rPr>
              <w:t>70,698,350.35</w:t>
            </w:r>
          </w:p>
        </w:tc>
        <w:tc>
          <w:tcPr>
            <w:tcW w:w="0" w:type="auto"/>
            <w:vAlign w:val="center"/>
          </w:tcPr>
          <w:p w:rsidR="00E57889" w:rsidRDefault="00F7094B">
            <w:pPr>
              <w:jc w:val="center"/>
            </w:pPr>
            <w:r>
              <w:rPr>
                <w:sz w:val="24"/>
                <w:szCs w:val="24"/>
              </w:rPr>
              <w:t>-</w:t>
            </w:r>
          </w:p>
        </w:tc>
        <w:tc>
          <w:tcPr>
            <w:tcW w:w="0" w:type="auto"/>
            <w:vAlign w:val="center"/>
          </w:tcPr>
          <w:p w:rsidR="00E57889" w:rsidRDefault="00F7094B">
            <w:pPr>
              <w:jc w:val="center"/>
            </w:pPr>
            <w:r>
              <w:rPr>
                <w:sz w:val="24"/>
                <w:szCs w:val="24"/>
              </w:rPr>
              <w:t>10,429,447.00</w:t>
            </w:r>
          </w:p>
        </w:tc>
        <w:tc>
          <w:tcPr>
            <w:tcW w:w="0" w:type="auto"/>
            <w:vAlign w:val="center"/>
          </w:tcPr>
          <w:p w:rsidR="00E57889" w:rsidRDefault="00F7094B">
            <w:pPr>
              <w:jc w:val="center"/>
            </w:pPr>
            <w:r>
              <w:rPr>
                <w:sz w:val="24"/>
                <w:szCs w:val="24"/>
              </w:rPr>
              <w:t>60,268,903.35</w:t>
            </w:r>
          </w:p>
        </w:tc>
        <w:tc>
          <w:tcPr>
            <w:tcW w:w="0" w:type="auto"/>
            <w:gridSpan w:val="2"/>
            <w:vAlign w:val="center"/>
          </w:tcPr>
          <w:p w:rsidR="00E57889" w:rsidRDefault="00F7094B">
            <w:pPr>
              <w:jc w:val="center"/>
            </w:pPr>
            <w:r>
              <w:rPr>
                <w:sz w:val="24"/>
                <w:szCs w:val="24"/>
              </w:rPr>
              <w:t>19.24%</w:t>
            </w:r>
          </w:p>
        </w:tc>
      </w:tr>
      <w:tr w:rsidR="001F5F5D" w:rsidRPr="00FC0759" w:rsidTr="00D9482C">
        <w:trPr>
          <w:gridAfter w:val="1"/>
          <w:jc w:val="center"/>
        </w:trPr>
        <w:tc>
          <w:tcPr>
            <w:tcW w:w="9637" w:type="dxa"/>
            <w:gridSpan w:val="8"/>
            <w:vAlign w:val="center"/>
          </w:tcPr>
          <w:p w:rsidR="001F5F5D" w:rsidRPr="00FC0759" w:rsidRDefault="001F5F5D" w:rsidP="003350A8">
            <w:pPr>
              <w:autoSpaceDE w:val="0"/>
              <w:autoSpaceDN w:val="0"/>
              <w:adjustRightInd w:val="0"/>
              <w:jc w:val="center"/>
              <w:rPr>
                <w:sz w:val="24"/>
                <w:szCs w:val="24"/>
              </w:rPr>
            </w:pPr>
            <w:r w:rsidRPr="00FC0759">
              <w:rPr>
                <w:color w:val="000000"/>
                <w:sz w:val="24"/>
                <w:szCs w:val="24"/>
              </w:rPr>
              <w:t>产品特有风险</w:t>
            </w:r>
          </w:p>
        </w:tc>
      </w:tr>
      <w:tr w:rsidR="001F5F5D" w:rsidRPr="00FC0759" w:rsidTr="00D9482C">
        <w:trPr>
          <w:gridAfter w:val="1"/>
          <w:jc w:val="center"/>
        </w:trPr>
        <w:tc>
          <w:tcPr>
            <w:tcW w:w="9637" w:type="dxa"/>
            <w:gridSpan w:val="8"/>
            <w:vAlign w:val="center"/>
          </w:tcPr>
          <w:p w:rsidR="001F5F5D" w:rsidRPr="00FC0759" w:rsidRDefault="001F5F5D" w:rsidP="00D9482C">
            <w:pPr>
              <w:autoSpaceDE w:val="0"/>
              <w:autoSpaceDN w:val="0"/>
              <w:adjustRightInd w:val="0"/>
              <w:jc w:val="left"/>
              <w:rPr>
                <w:sz w:val="24"/>
                <w:szCs w:val="24"/>
              </w:rPr>
            </w:pPr>
            <w:r w:rsidRPr="00FC0759">
              <w:rPr>
                <w:sz w:val="24"/>
                <w:szCs w:val="24"/>
              </w:rPr>
              <w:t>报告期内，本基金存在单一投资者持有份额比例达到或超过</w:t>
            </w:r>
            <w:r w:rsidRPr="00FC0759">
              <w:rPr>
                <w:sz w:val="24"/>
                <w:szCs w:val="24"/>
              </w:rPr>
              <w:t>20%</w:t>
            </w:r>
            <w:r w:rsidRPr="00FC0759">
              <w:rPr>
                <w:sz w:val="24"/>
                <w:szCs w:val="24"/>
              </w:rPr>
              <w:t>的情况，由此可能导致的特有风险主要包括：当投资者持有份额占比较为集中时，个别投资者的大额赎回可能会对基金资产运作及净值表现产生较大影响；极端情况下基金管理人可能无法以合理价格及时变现基金资产以应对投资者的赎回申请，可能带来流动性风险；如个别投资者大额赎回引发巨额赎回，基金管理人可能根据基金合同约定决定部分延期赎回或暂停接受基金的赎回申请，可能影响投资者赎回业务办理；若个别投资者大额赎回后本基金出现连续六十个工作日基金资产净值低于</w:t>
            </w:r>
            <w:r w:rsidRPr="00FC0759">
              <w:rPr>
                <w:sz w:val="24"/>
                <w:szCs w:val="24"/>
              </w:rPr>
              <w:t>5000</w:t>
            </w:r>
            <w:r w:rsidRPr="00FC0759">
              <w:rPr>
                <w:sz w:val="24"/>
                <w:szCs w:val="24"/>
              </w:rPr>
              <w:t>万元，基金还可能面临转换运作方式、与其他基金合并或者终止基金合同等情形；持有基金份额占比较高的投资者在召开持有人大会并对审议事项进行投票表决时可能拥有较大话语权。</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9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9.1 </w:t>
      </w:r>
      <w:r w:rsidRPr="00264E55">
        <w:rPr>
          <w:rFonts w:ascii="宋体" w:hAnsi="宋体" w:hint="eastAsia"/>
          <w:b/>
          <w:bCs/>
          <w:color w:val="000000"/>
          <w:kern w:val="0"/>
          <w:sz w:val="24"/>
          <w:szCs w:val="24"/>
        </w:rPr>
        <w:t>备查文件目录</w:t>
      </w:r>
    </w:p>
    <w:p w:rsidR="00E57889" w:rsidRDefault="00F7094B">
      <w:pPr>
        <w:spacing w:line="360" w:lineRule="auto"/>
        <w:ind w:firstLineChars="200" w:firstLine="480"/>
        <w:rPr>
          <w:color w:val="000000"/>
          <w:sz w:val="24"/>
          <w:szCs w:val="24"/>
        </w:rPr>
      </w:pPr>
      <w:r>
        <w:rPr>
          <w:color w:val="000000"/>
          <w:sz w:val="24"/>
          <w:szCs w:val="24"/>
        </w:rPr>
        <w:t>1.</w:t>
      </w:r>
      <w:r>
        <w:rPr>
          <w:color w:val="000000"/>
          <w:sz w:val="24"/>
          <w:szCs w:val="24"/>
        </w:rPr>
        <w:t>中国证监会准予易方达瑞景灵活配置混合型证券投资基金注册的文件；</w:t>
      </w:r>
    </w:p>
    <w:p w:rsidR="00E57889" w:rsidRDefault="00F7094B">
      <w:pPr>
        <w:spacing w:line="360" w:lineRule="auto"/>
        <w:ind w:firstLineChars="200" w:firstLine="480"/>
        <w:rPr>
          <w:color w:val="000000"/>
          <w:sz w:val="24"/>
          <w:szCs w:val="24"/>
        </w:rPr>
      </w:pPr>
      <w:r>
        <w:rPr>
          <w:color w:val="000000"/>
          <w:sz w:val="24"/>
          <w:szCs w:val="24"/>
        </w:rPr>
        <w:t>2.</w:t>
      </w:r>
      <w:r>
        <w:rPr>
          <w:color w:val="000000"/>
          <w:sz w:val="24"/>
          <w:szCs w:val="24"/>
        </w:rPr>
        <w:t>《易方达瑞景灵活配置混合型证券投资基金基金合同》；</w:t>
      </w:r>
    </w:p>
    <w:p w:rsidR="00E57889" w:rsidRDefault="00F7094B">
      <w:pPr>
        <w:spacing w:line="360" w:lineRule="auto"/>
        <w:ind w:firstLineChars="200" w:firstLine="480"/>
        <w:rPr>
          <w:color w:val="000000"/>
          <w:sz w:val="24"/>
          <w:szCs w:val="24"/>
        </w:rPr>
      </w:pPr>
      <w:r>
        <w:rPr>
          <w:color w:val="000000"/>
          <w:sz w:val="24"/>
          <w:szCs w:val="24"/>
        </w:rPr>
        <w:t>3.</w:t>
      </w:r>
      <w:r>
        <w:rPr>
          <w:color w:val="000000"/>
          <w:sz w:val="24"/>
          <w:szCs w:val="24"/>
        </w:rPr>
        <w:t>《易方达瑞景灵活配置混合型证券投资基金托管协议》；</w:t>
      </w:r>
    </w:p>
    <w:p w:rsidR="00E57889" w:rsidRDefault="00F7094B">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9.2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9.3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F7094B">
      <w:rPr>
        <w:rStyle w:val="a7"/>
        <w:noProof/>
      </w:rPr>
      <w:t>1</w:t>
    </w:r>
    <w:r>
      <w:rPr>
        <w:rStyle w:val="a7"/>
      </w:rPr>
      <w:fldChar w:fldCharType="end"/>
    </w:r>
    <w:r>
      <w:rPr>
        <w:rStyle w:val="a7"/>
        <w:rFonts w:hint="eastAsia"/>
      </w:rPr>
      <w:t>页共</w:t>
    </w:r>
    <w:r w:rsidR="00F7094B">
      <w:fldChar w:fldCharType="begin"/>
    </w:r>
    <w:r w:rsidR="00F7094B">
      <w:instrText xml:space="preserve"> NUMPAGES  \* Arabic  \* MERGEFORMAT </w:instrText>
    </w:r>
    <w:r w:rsidR="00F7094B">
      <w:fldChar w:fldCharType="separate"/>
    </w:r>
    <w:r w:rsidR="00F7094B" w:rsidRPr="00F7094B">
      <w:rPr>
        <w:rStyle w:val="a7"/>
        <w:noProof/>
      </w:rPr>
      <w:t>1</w:t>
    </w:r>
    <w:r w:rsidR="00F7094B">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F7094B">
      <w:rPr>
        <w:rStyle w:val="a7"/>
        <w:noProof/>
      </w:rPr>
      <w:t>2</w:t>
    </w:r>
    <w:r>
      <w:rPr>
        <w:rStyle w:val="a7"/>
      </w:rPr>
      <w:fldChar w:fldCharType="end"/>
    </w:r>
    <w:r>
      <w:rPr>
        <w:rStyle w:val="a7"/>
        <w:rFonts w:hint="eastAsia"/>
      </w:rPr>
      <w:t>页共</w:t>
    </w:r>
    <w:fldSimple w:instr=" NUMPAGES  \* Arabic  \* MERGEFORMAT ">
      <w:r w:rsidR="00F7094B" w:rsidRPr="00F7094B">
        <w:rPr>
          <w:rStyle w:val="a7"/>
          <w:noProof/>
        </w:rPr>
        <w:t>2</w:t>
      </w:r>
    </w:fldSimple>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易方达瑞景灵活配置混合型证券投资基金</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57889"/>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094B"/>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6B9D-8B71-4C6C-809C-1A43DF54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6908</Characters>
  <Application>Microsoft Office Word</Application>
  <DocSecurity>4</DocSecurity>
  <Lines>57</Lines>
  <Paragraphs>16</Paragraphs>
  <ScaleCrop>false</ScaleCrop>
  <Company/>
  <LinksUpToDate>false</LinksUpToDate>
  <CharactersWithSpaces>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dcterms:created xsi:type="dcterms:W3CDTF">2020-01-13T02:43:00Z</dcterms:created>
  <dcterms:modified xsi:type="dcterms:W3CDTF">2020-01-13T02:43:00Z</dcterms:modified>
</cp:coreProperties>
</file>