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易方达国企改革混合型证券投资基金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中国工商银行股份有限公司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4956E2" w:rsidRDefault="00E7380F">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956E2" w:rsidRDefault="00E7380F">
      <w:pPr>
        <w:spacing w:line="360"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956E2" w:rsidRDefault="00E7380F">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956E2" w:rsidRDefault="00E7380F">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956E2" w:rsidRDefault="00E7380F">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易方达国企改革混合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001382</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001382</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2017</w:t>
            </w:r>
            <w:r w:rsidRPr="00232B03">
              <w:rPr>
                <w:color w:val="000000"/>
                <w:kern w:val="0"/>
                <w:sz w:val="24"/>
                <w:szCs w:val="24"/>
              </w:rPr>
              <w:t>年</w:t>
            </w:r>
            <w:r w:rsidRPr="00232B03">
              <w:rPr>
                <w:color w:val="000000"/>
                <w:kern w:val="0"/>
                <w:sz w:val="24"/>
                <w:szCs w:val="24"/>
              </w:rPr>
              <w:t>8</w:t>
            </w:r>
            <w:r w:rsidRPr="00232B03">
              <w:rPr>
                <w:color w:val="000000"/>
                <w:kern w:val="0"/>
                <w:sz w:val="24"/>
                <w:szCs w:val="24"/>
              </w:rPr>
              <w:t>月</w:t>
            </w:r>
            <w:r w:rsidRPr="00232B03">
              <w:rPr>
                <w:color w:val="000000"/>
                <w:kern w:val="0"/>
                <w:sz w:val="24"/>
                <w:szCs w:val="24"/>
              </w:rPr>
              <w:t>23</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98,862,017.10</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本基金在控制风险的前提下，追求超越业绩比较基准的投资回报。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基于定量与定性相结合的宏观及政策分析，综合考虑宏观经济环境、政策形势、市场估值与流动性等因素，关注国家宏观经济与产业经济层面相关改革政策的政策导向及其变化对市场和相关产业的影响。股票投资方面，本基金将采取自上而下</w:t>
            </w:r>
            <w:r w:rsidRPr="00232B03">
              <w:rPr>
                <w:color w:val="000000"/>
                <w:kern w:val="0"/>
                <w:sz w:val="24"/>
                <w:szCs w:val="24"/>
              </w:rPr>
              <w:lastRenderedPageBreak/>
              <w:t>的政策跟踪和分析，结合自下而上的国企改革事件分析、基本面评价及估值分析，优选受益于国有企业改革或在全面深化国企改革推动下预期盈利水平将显著提升的上市公司。债券投资方面，本基金将主要通过类属配置与券种选择两个层次进行投资管理。</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中证国有企业改革指数收益率</w:t>
            </w:r>
            <w:r w:rsidRPr="00232B03">
              <w:rPr>
                <w:color w:val="000000"/>
                <w:kern w:val="0"/>
                <w:sz w:val="24"/>
                <w:szCs w:val="24"/>
              </w:rPr>
              <w:t>×80%+</w:t>
            </w:r>
            <w:r w:rsidRPr="00232B03">
              <w:rPr>
                <w:color w:val="000000"/>
                <w:kern w:val="0"/>
                <w:sz w:val="24"/>
                <w:szCs w:val="24"/>
              </w:rPr>
              <w:t>一年期人民币定期存款利率（税后）</w:t>
            </w:r>
            <w:r w:rsidRPr="00232B03">
              <w:rPr>
                <w:color w:val="000000"/>
                <w:kern w:val="0"/>
                <w:sz w:val="24"/>
                <w:szCs w:val="24"/>
              </w:rPr>
              <w:t>×20%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本基金为混合型基金，理论上其预期风险与预期收益水平低于股票型基金，高于债券型基金和货币市场基金。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中国工商银行股份有限公司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17,058,090.36</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6,935,710.26</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0.0478</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138,524,989.61</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1.401</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4956E2" w:rsidRDefault="00E7380F">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4956E2">
        <w:tc>
          <w:tcPr>
            <w:tcW w:w="0" w:type="auto"/>
            <w:vAlign w:val="center"/>
          </w:tcPr>
          <w:p w:rsidR="004956E2" w:rsidRDefault="00E7380F">
            <w:pPr>
              <w:jc w:val="left"/>
            </w:pPr>
            <w:r>
              <w:rPr>
                <w:color w:val="000000"/>
                <w:kern w:val="0"/>
                <w:sz w:val="24"/>
                <w:szCs w:val="24"/>
              </w:rPr>
              <w:t>过去三个月</w:t>
            </w:r>
          </w:p>
        </w:tc>
        <w:tc>
          <w:tcPr>
            <w:tcW w:w="0" w:type="auto"/>
            <w:vAlign w:val="center"/>
          </w:tcPr>
          <w:p w:rsidR="004956E2" w:rsidRDefault="00E7380F">
            <w:pPr>
              <w:jc w:val="center"/>
            </w:pPr>
            <w:r>
              <w:rPr>
                <w:color w:val="000000"/>
                <w:kern w:val="0"/>
                <w:sz w:val="24"/>
                <w:szCs w:val="24"/>
              </w:rPr>
              <w:t>4.55%</w:t>
            </w:r>
          </w:p>
        </w:tc>
        <w:tc>
          <w:tcPr>
            <w:tcW w:w="0" w:type="auto"/>
            <w:vAlign w:val="center"/>
          </w:tcPr>
          <w:p w:rsidR="004956E2" w:rsidRDefault="00E7380F">
            <w:pPr>
              <w:jc w:val="center"/>
            </w:pPr>
            <w:r>
              <w:rPr>
                <w:color w:val="000000"/>
                <w:kern w:val="0"/>
                <w:sz w:val="24"/>
                <w:szCs w:val="24"/>
              </w:rPr>
              <w:t>0.82%</w:t>
            </w:r>
          </w:p>
        </w:tc>
        <w:tc>
          <w:tcPr>
            <w:tcW w:w="0" w:type="auto"/>
            <w:vAlign w:val="center"/>
          </w:tcPr>
          <w:p w:rsidR="004956E2" w:rsidRDefault="00E7380F">
            <w:pPr>
              <w:jc w:val="center"/>
            </w:pPr>
            <w:r>
              <w:rPr>
                <w:color w:val="000000"/>
                <w:kern w:val="0"/>
                <w:sz w:val="24"/>
                <w:szCs w:val="24"/>
              </w:rPr>
              <w:t>6.18%</w:t>
            </w:r>
          </w:p>
        </w:tc>
        <w:tc>
          <w:tcPr>
            <w:tcW w:w="0" w:type="auto"/>
            <w:vAlign w:val="center"/>
          </w:tcPr>
          <w:p w:rsidR="004956E2" w:rsidRDefault="00E7380F">
            <w:pPr>
              <w:jc w:val="center"/>
            </w:pPr>
            <w:r>
              <w:rPr>
                <w:color w:val="000000"/>
                <w:kern w:val="0"/>
                <w:sz w:val="24"/>
                <w:szCs w:val="24"/>
              </w:rPr>
              <w:t>0.58%</w:t>
            </w:r>
          </w:p>
        </w:tc>
        <w:tc>
          <w:tcPr>
            <w:tcW w:w="0" w:type="auto"/>
            <w:vAlign w:val="center"/>
          </w:tcPr>
          <w:p w:rsidR="004956E2" w:rsidRDefault="00E7380F">
            <w:pPr>
              <w:jc w:val="center"/>
            </w:pPr>
            <w:r>
              <w:rPr>
                <w:color w:val="000000"/>
                <w:kern w:val="0"/>
                <w:sz w:val="24"/>
                <w:szCs w:val="24"/>
              </w:rPr>
              <w:t>-1.63%</w:t>
            </w:r>
          </w:p>
        </w:tc>
        <w:tc>
          <w:tcPr>
            <w:tcW w:w="0" w:type="auto"/>
            <w:vAlign w:val="center"/>
          </w:tcPr>
          <w:p w:rsidR="004956E2" w:rsidRDefault="00E7380F">
            <w:pPr>
              <w:jc w:val="center"/>
            </w:pPr>
            <w:r>
              <w:rPr>
                <w:color w:val="000000"/>
                <w:kern w:val="0"/>
                <w:sz w:val="24"/>
                <w:szCs w:val="24"/>
              </w:rPr>
              <w:t>0.24%</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易方达国企改革混合型证券投资基金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2017</w:t>
      </w:r>
      <w:r w:rsidRPr="0074694E">
        <w:rPr>
          <w:rFonts w:ascii="Times New Roman" w:hAnsi="Times New Roman"/>
          <w:sz w:val="24"/>
          <w:szCs w:val="24"/>
        </w:rPr>
        <w:t>年</w:t>
      </w:r>
      <w:r w:rsidRPr="0074694E">
        <w:rPr>
          <w:rFonts w:ascii="Times New Roman" w:hAnsi="Times New Roman"/>
          <w:sz w:val="24"/>
          <w:szCs w:val="24"/>
        </w:rPr>
        <w:t>8</w:t>
      </w:r>
      <w:r w:rsidRPr="0074694E">
        <w:rPr>
          <w:rFonts w:ascii="Times New Roman" w:hAnsi="Times New Roman"/>
          <w:sz w:val="24"/>
          <w:szCs w:val="24"/>
        </w:rPr>
        <w:t>月</w:t>
      </w:r>
      <w:r w:rsidRPr="0074694E">
        <w:rPr>
          <w:rFonts w:ascii="Times New Roman" w:hAnsi="Times New Roman"/>
          <w:sz w:val="24"/>
          <w:szCs w:val="24"/>
        </w:rPr>
        <w:t>23</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E7380F"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40.10%</w:t>
      </w:r>
      <w:r w:rsidRPr="006C56AA">
        <w:rPr>
          <w:color w:val="000000"/>
          <w:sz w:val="24"/>
          <w:szCs w:val="24"/>
        </w:rPr>
        <w:t>，同期业绩比较基准收益率为</w:t>
      </w:r>
      <w:r w:rsidRPr="006C56AA">
        <w:rPr>
          <w:color w:val="000000"/>
          <w:sz w:val="24"/>
          <w:szCs w:val="24"/>
        </w:rPr>
        <w:t>1.64%</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4956E2">
        <w:tc>
          <w:tcPr>
            <w:tcW w:w="0" w:type="auto"/>
            <w:vAlign w:val="center"/>
          </w:tcPr>
          <w:p w:rsidR="004956E2" w:rsidRDefault="00E7380F">
            <w:pPr>
              <w:jc w:val="center"/>
            </w:pPr>
            <w:r>
              <w:rPr>
                <w:color w:val="000000"/>
                <w:sz w:val="24"/>
              </w:rPr>
              <w:t>郭杰</w:t>
            </w:r>
          </w:p>
        </w:tc>
        <w:tc>
          <w:tcPr>
            <w:tcW w:w="0" w:type="auto"/>
            <w:vAlign w:val="center"/>
          </w:tcPr>
          <w:p w:rsidR="004956E2" w:rsidRDefault="00E7380F">
            <w:pPr>
              <w:jc w:val="center"/>
            </w:pPr>
            <w:r>
              <w:rPr>
                <w:color w:val="000000"/>
                <w:sz w:val="24"/>
              </w:rPr>
              <w:t>本基金的基金经理、易方达改革红利混合型证券投资基金的基金经理、易方达</w:t>
            </w:r>
            <w:r>
              <w:rPr>
                <w:color w:val="000000"/>
                <w:sz w:val="24"/>
              </w:rPr>
              <w:t>ESG</w:t>
            </w:r>
            <w:r>
              <w:rPr>
                <w:color w:val="000000"/>
                <w:sz w:val="24"/>
              </w:rPr>
              <w:t>责任投资股票型发起式证券投资基金的基金经理</w:t>
            </w:r>
          </w:p>
        </w:tc>
        <w:tc>
          <w:tcPr>
            <w:tcW w:w="0" w:type="auto"/>
            <w:vAlign w:val="center"/>
          </w:tcPr>
          <w:p w:rsidR="004956E2" w:rsidRDefault="00E7380F">
            <w:pPr>
              <w:jc w:val="center"/>
            </w:pPr>
            <w:r>
              <w:rPr>
                <w:color w:val="000000"/>
                <w:sz w:val="24"/>
              </w:rPr>
              <w:t>2017-08-23</w:t>
            </w:r>
          </w:p>
        </w:tc>
        <w:tc>
          <w:tcPr>
            <w:tcW w:w="0" w:type="auto"/>
            <w:vAlign w:val="center"/>
          </w:tcPr>
          <w:p w:rsidR="004956E2" w:rsidRDefault="00E7380F">
            <w:pPr>
              <w:jc w:val="center"/>
            </w:pPr>
            <w:r>
              <w:rPr>
                <w:color w:val="000000"/>
                <w:sz w:val="24"/>
              </w:rPr>
              <w:t>-</w:t>
            </w:r>
          </w:p>
        </w:tc>
        <w:tc>
          <w:tcPr>
            <w:tcW w:w="0" w:type="auto"/>
            <w:vAlign w:val="center"/>
          </w:tcPr>
          <w:p w:rsidR="004956E2" w:rsidRDefault="00E7380F">
            <w:pPr>
              <w:jc w:val="center"/>
            </w:pPr>
            <w:r>
              <w:rPr>
                <w:color w:val="000000"/>
                <w:sz w:val="24"/>
              </w:rPr>
              <w:t>11</w:t>
            </w:r>
            <w:r>
              <w:rPr>
                <w:color w:val="000000"/>
                <w:sz w:val="24"/>
              </w:rPr>
              <w:t>年</w:t>
            </w:r>
          </w:p>
        </w:tc>
        <w:tc>
          <w:tcPr>
            <w:tcW w:w="0" w:type="auto"/>
            <w:vAlign w:val="center"/>
          </w:tcPr>
          <w:p w:rsidR="004956E2" w:rsidRDefault="00E7380F">
            <w:r>
              <w:rPr>
                <w:color w:val="000000"/>
                <w:sz w:val="24"/>
              </w:rPr>
              <w:t>硕士研究生，具有基金从业资格。曾任易方达基金管理有限公司行业研究员、基金经理助理、易方达资源行业股票型证券投资基金基金经理、易方达科汇灵活配置混合型证券投资基金基金经理、易方达新丝路灵活配置混合型证券投资基金基金经理。</w:t>
            </w:r>
          </w:p>
        </w:tc>
      </w:tr>
    </w:tbl>
    <w:p w:rsidR="004956E2" w:rsidRDefault="00E7380F">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4956E2" w:rsidRDefault="00E7380F">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4956E2" w:rsidRDefault="00E7380F">
      <w:pPr>
        <w:spacing w:line="360" w:lineRule="auto"/>
        <w:ind w:firstLineChars="200" w:firstLine="480"/>
        <w:rPr>
          <w:color w:val="000000"/>
          <w:sz w:val="24"/>
          <w:szCs w:val="24"/>
        </w:rPr>
      </w:pPr>
      <w:r>
        <w:rPr>
          <w:color w:val="000000"/>
          <w:sz w:val="24"/>
          <w:szCs w:val="24"/>
        </w:rPr>
        <w:t>四季度，宏观数据显示经济有短期企稳的迹象。在政策保持流动性宽松的前提下，专项债的发行有望保障</w:t>
      </w:r>
      <w:r>
        <w:rPr>
          <w:color w:val="000000"/>
          <w:sz w:val="24"/>
          <w:szCs w:val="24"/>
        </w:rPr>
        <w:t>2020</w:t>
      </w:r>
      <w:r>
        <w:rPr>
          <w:color w:val="000000"/>
          <w:sz w:val="24"/>
          <w:szCs w:val="24"/>
        </w:rPr>
        <w:t>年一季度政府财政支出，预计宏观经济可能在未来一到二个季度内出现短期回升。整个市场对经济前景和市场流动性的信心有所恢复，呈现多热点的结构性特征。到季末，沪深</w:t>
      </w:r>
      <w:r>
        <w:rPr>
          <w:color w:val="000000"/>
          <w:sz w:val="24"/>
          <w:szCs w:val="24"/>
        </w:rPr>
        <w:t>300</w:t>
      </w:r>
      <w:r>
        <w:rPr>
          <w:color w:val="000000"/>
          <w:sz w:val="24"/>
          <w:szCs w:val="24"/>
        </w:rPr>
        <w:t>指数收于</w:t>
      </w:r>
      <w:r>
        <w:rPr>
          <w:color w:val="000000"/>
          <w:sz w:val="24"/>
          <w:szCs w:val="24"/>
        </w:rPr>
        <w:t>4097</w:t>
      </w:r>
      <w:r>
        <w:rPr>
          <w:color w:val="000000"/>
          <w:sz w:val="24"/>
          <w:szCs w:val="24"/>
        </w:rPr>
        <w:t>点，震荡上涨</w:t>
      </w:r>
      <w:r>
        <w:rPr>
          <w:color w:val="000000"/>
          <w:sz w:val="24"/>
          <w:szCs w:val="24"/>
        </w:rPr>
        <w:t>7.39%</w:t>
      </w:r>
      <w:r>
        <w:rPr>
          <w:color w:val="000000"/>
          <w:sz w:val="24"/>
          <w:szCs w:val="24"/>
        </w:rPr>
        <w:t>。某些热点板块和概念的个股涨幅较大，甚至出现了泡沫化的趋势，对于这类股票我们保持高度警惕。</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本基金坚持一贯的鲜明的投资策略：在众多国有企业中，寻找那些具有突出竞争优势、享有类垄断地位的企业，在分享高资本回报的同时，等待未来治理改善带来的红利。同时，本基金将积极关注</w:t>
      </w:r>
      <w:r w:rsidRPr="006C56AA">
        <w:rPr>
          <w:color w:val="000000"/>
          <w:sz w:val="24"/>
          <w:szCs w:val="24"/>
        </w:rPr>
        <w:t>“</w:t>
      </w:r>
      <w:r w:rsidRPr="006C56AA">
        <w:rPr>
          <w:color w:val="000000"/>
          <w:sz w:val="24"/>
          <w:szCs w:val="24"/>
        </w:rPr>
        <w:t>坠落天使</w:t>
      </w:r>
      <w:r w:rsidRPr="006C56AA">
        <w:rPr>
          <w:color w:val="000000"/>
          <w:sz w:val="24"/>
          <w:szCs w:val="24"/>
        </w:rPr>
        <w:t>”</w:t>
      </w:r>
      <w:r w:rsidRPr="006C56AA">
        <w:rPr>
          <w:color w:val="000000"/>
          <w:sz w:val="24"/>
          <w:szCs w:val="24"/>
        </w:rPr>
        <w:t>类的股票，寻找那些中长期前景和竞争优势不变，仅在短期内因为行业或自身原因表现不好的个股，以争取获得更好的超额收益。</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1.401</w:t>
      </w:r>
      <w:r w:rsidRPr="006C56AA">
        <w:rPr>
          <w:color w:val="000000"/>
          <w:sz w:val="24"/>
          <w:szCs w:val="24"/>
        </w:rPr>
        <w:t>元，本报告期份额净值增长率为</w:t>
      </w:r>
      <w:r w:rsidRPr="006C56AA">
        <w:rPr>
          <w:color w:val="000000"/>
          <w:sz w:val="24"/>
          <w:szCs w:val="24"/>
        </w:rPr>
        <w:t>4.55%</w:t>
      </w:r>
      <w:r w:rsidRPr="006C56AA">
        <w:rPr>
          <w:color w:val="000000"/>
          <w:sz w:val="24"/>
          <w:szCs w:val="24"/>
        </w:rPr>
        <w:t>，同期业绩比较基准收益率为</w:t>
      </w:r>
      <w:r w:rsidRPr="006C56AA">
        <w:rPr>
          <w:color w:val="000000"/>
          <w:sz w:val="24"/>
          <w:szCs w:val="24"/>
        </w:rPr>
        <w:t>6.18%</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127,762,761.88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90.37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127,762,761.88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90.37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10,970,898.28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7.76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2,641,744.73</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1.87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141,375,404.89</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100,023,998.69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72.21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23,364,740.15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16.87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4,367,445.00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3.15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127,762,761.88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92.23</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4956E2">
        <w:tc>
          <w:tcPr>
            <w:tcW w:w="0" w:type="auto"/>
            <w:vAlign w:val="center"/>
          </w:tcPr>
          <w:p w:rsidR="004956E2" w:rsidRDefault="00E7380F">
            <w:pPr>
              <w:jc w:val="center"/>
            </w:pPr>
            <w:r>
              <w:rPr>
                <w:color w:val="000000"/>
                <w:kern w:val="0"/>
                <w:sz w:val="24"/>
                <w:szCs w:val="24"/>
              </w:rPr>
              <w:t>1</w:t>
            </w:r>
          </w:p>
        </w:tc>
        <w:tc>
          <w:tcPr>
            <w:tcW w:w="0" w:type="auto"/>
            <w:vAlign w:val="center"/>
          </w:tcPr>
          <w:p w:rsidR="004956E2" w:rsidRDefault="00E7380F">
            <w:pPr>
              <w:jc w:val="center"/>
            </w:pPr>
            <w:r>
              <w:rPr>
                <w:color w:val="000000"/>
                <w:kern w:val="0"/>
                <w:sz w:val="24"/>
                <w:szCs w:val="24"/>
              </w:rPr>
              <w:t>000651</w:t>
            </w:r>
          </w:p>
        </w:tc>
        <w:tc>
          <w:tcPr>
            <w:tcW w:w="0" w:type="auto"/>
            <w:vAlign w:val="center"/>
          </w:tcPr>
          <w:p w:rsidR="004956E2" w:rsidRDefault="00E7380F">
            <w:pPr>
              <w:jc w:val="center"/>
            </w:pPr>
            <w:r>
              <w:rPr>
                <w:color w:val="000000"/>
                <w:kern w:val="0"/>
                <w:sz w:val="24"/>
                <w:szCs w:val="24"/>
              </w:rPr>
              <w:t>格力电器</w:t>
            </w:r>
          </w:p>
        </w:tc>
        <w:tc>
          <w:tcPr>
            <w:tcW w:w="0" w:type="auto"/>
            <w:vAlign w:val="center"/>
          </w:tcPr>
          <w:p w:rsidR="004956E2" w:rsidRDefault="00E7380F">
            <w:pPr>
              <w:jc w:val="right"/>
            </w:pPr>
            <w:r>
              <w:rPr>
                <w:color w:val="000000"/>
                <w:kern w:val="0"/>
                <w:sz w:val="24"/>
                <w:szCs w:val="24"/>
              </w:rPr>
              <w:t>208,724</w:t>
            </w:r>
          </w:p>
        </w:tc>
        <w:tc>
          <w:tcPr>
            <w:tcW w:w="0" w:type="auto"/>
            <w:vAlign w:val="center"/>
          </w:tcPr>
          <w:p w:rsidR="004956E2" w:rsidRDefault="00E7380F">
            <w:pPr>
              <w:jc w:val="right"/>
            </w:pPr>
            <w:r>
              <w:rPr>
                <w:color w:val="000000"/>
                <w:kern w:val="0"/>
                <w:sz w:val="24"/>
                <w:szCs w:val="24"/>
              </w:rPr>
              <w:t>13,688,119.92</w:t>
            </w:r>
          </w:p>
        </w:tc>
        <w:tc>
          <w:tcPr>
            <w:tcW w:w="0" w:type="auto"/>
            <w:vAlign w:val="center"/>
          </w:tcPr>
          <w:p w:rsidR="004956E2" w:rsidRDefault="00E7380F">
            <w:pPr>
              <w:jc w:val="right"/>
            </w:pPr>
            <w:r>
              <w:rPr>
                <w:color w:val="000000"/>
                <w:kern w:val="0"/>
                <w:sz w:val="24"/>
                <w:szCs w:val="24"/>
              </w:rPr>
              <w:t>9.88</w:t>
            </w:r>
          </w:p>
        </w:tc>
      </w:tr>
      <w:tr w:rsidR="004956E2">
        <w:tc>
          <w:tcPr>
            <w:tcW w:w="0" w:type="auto"/>
            <w:vAlign w:val="center"/>
          </w:tcPr>
          <w:p w:rsidR="004956E2" w:rsidRDefault="00E7380F">
            <w:pPr>
              <w:jc w:val="center"/>
            </w:pPr>
            <w:r>
              <w:rPr>
                <w:color w:val="000000"/>
                <w:kern w:val="0"/>
                <w:sz w:val="24"/>
                <w:szCs w:val="24"/>
              </w:rPr>
              <w:t>2</w:t>
            </w:r>
          </w:p>
        </w:tc>
        <w:tc>
          <w:tcPr>
            <w:tcW w:w="0" w:type="auto"/>
            <w:vAlign w:val="center"/>
          </w:tcPr>
          <w:p w:rsidR="004956E2" w:rsidRDefault="00E7380F">
            <w:pPr>
              <w:jc w:val="center"/>
            </w:pPr>
            <w:r>
              <w:rPr>
                <w:color w:val="000000"/>
                <w:kern w:val="0"/>
                <w:sz w:val="24"/>
                <w:szCs w:val="24"/>
              </w:rPr>
              <w:t>600009</w:t>
            </w:r>
          </w:p>
        </w:tc>
        <w:tc>
          <w:tcPr>
            <w:tcW w:w="0" w:type="auto"/>
            <w:vAlign w:val="center"/>
          </w:tcPr>
          <w:p w:rsidR="004956E2" w:rsidRDefault="00E7380F">
            <w:pPr>
              <w:jc w:val="center"/>
            </w:pPr>
            <w:r>
              <w:rPr>
                <w:color w:val="000000"/>
                <w:kern w:val="0"/>
                <w:sz w:val="24"/>
                <w:szCs w:val="24"/>
              </w:rPr>
              <w:t>上海机场</w:t>
            </w:r>
          </w:p>
        </w:tc>
        <w:tc>
          <w:tcPr>
            <w:tcW w:w="0" w:type="auto"/>
            <w:vAlign w:val="center"/>
          </w:tcPr>
          <w:p w:rsidR="004956E2" w:rsidRDefault="00E7380F">
            <w:pPr>
              <w:jc w:val="right"/>
            </w:pPr>
            <w:r>
              <w:rPr>
                <w:color w:val="000000"/>
                <w:kern w:val="0"/>
                <w:sz w:val="24"/>
                <w:szCs w:val="24"/>
              </w:rPr>
              <w:t>173,809</w:t>
            </w:r>
          </w:p>
        </w:tc>
        <w:tc>
          <w:tcPr>
            <w:tcW w:w="0" w:type="auto"/>
            <w:vAlign w:val="center"/>
          </w:tcPr>
          <w:p w:rsidR="004956E2" w:rsidRDefault="00E7380F">
            <w:pPr>
              <w:jc w:val="right"/>
            </w:pPr>
            <w:r>
              <w:rPr>
                <w:color w:val="000000"/>
                <w:kern w:val="0"/>
                <w:sz w:val="24"/>
                <w:szCs w:val="24"/>
              </w:rPr>
              <w:t>13,687,458.75</w:t>
            </w:r>
          </w:p>
        </w:tc>
        <w:tc>
          <w:tcPr>
            <w:tcW w:w="0" w:type="auto"/>
            <w:vAlign w:val="center"/>
          </w:tcPr>
          <w:p w:rsidR="004956E2" w:rsidRDefault="00E7380F">
            <w:pPr>
              <w:jc w:val="right"/>
            </w:pPr>
            <w:r>
              <w:rPr>
                <w:color w:val="000000"/>
                <w:kern w:val="0"/>
                <w:sz w:val="24"/>
                <w:szCs w:val="24"/>
              </w:rPr>
              <w:t>9.88</w:t>
            </w:r>
          </w:p>
        </w:tc>
      </w:tr>
      <w:tr w:rsidR="004956E2">
        <w:tc>
          <w:tcPr>
            <w:tcW w:w="0" w:type="auto"/>
            <w:vAlign w:val="center"/>
          </w:tcPr>
          <w:p w:rsidR="004956E2" w:rsidRDefault="00E7380F">
            <w:pPr>
              <w:jc w:val="center"/>
            </w:pPr>
            <w:r>
              <w:rPr>
                <w:color w:val="000000"/>
                <w:kern w:val="0"/>
                <w:sz w:val="24"/>
                <w:szCs w:val="24"/>
              </w:rPr>
              <w:t>3</w:t>
            </w:r>
          </w:p>
        </w:tc>
        <w:tc>
          <w:tcPr>
            <w:tcW w:w="0" w:type="auto"/>
            <w:vAlign w:val="center"/>
          </w:tcPr>
          <w:p w:rsidR="004956E2" w:rsidRDefault="00E7380F">
            <w:pPr>
              <w:jc w:val="center"/>
            </w:pPr>
            <w:r>
              <w:rPr>
                <w:color w:val="000000"/>
                <w:kern w:val="0"/>
                <w:sz w:val="24"/>
                <w:szCs w:val="24"/>
              </w:rPr>
              <w:t>000858</w:t>
            </w:r>
          </w:p>
        </w:tc>
        <w:tc>
          <w:tcPr>
            <w:tcW w:w="0" w:type="auto"/>
            <w:vAlign w:val="center"/>
          </w:tcPr>
          <w:p w:rsidR="004956E2" w:rsidRDefault="00E7380F">
            <w:pPr>
              <w:jc w:val="center"/>
            </w:pPr>
            <w:r>
              <w:rPr>
                <w:color w:val="000000"/>
                <w:kern w:val="0"/>
                <w:sz w:val="24"/>
                <w:szCs w:val="24"/>
              </w:rPr>
              <w:t>五粮液</w:t>
            </w:r>
          </w:p>
        </w:tc>
        <w:tc>
          <w:tcPr>
            <w:tcW w:w="0" w:type="auto"/>
            <w:vAlign w:val="center"/>
          </w:tcPr>
          <w:p w:rsidR="004956E2" w:rsidRDefault="00E7380F">
            <w:pPr>
              <w:jc w:val="right"/>
            </w:pPr>
            <w:r>
              <w:rPr>
                <w:color w:val="000000"/>
                <w:kern w:val="0"/>
                <w:sz w:val="24"/>
                <w:szCs w:val="24"/>
              </w:rPr>
              <w:t>102,850</w:t>
            </w:r>
          </w:p>
        </w:tc>
        <w:tc>
          <w:tcPr>
            <w:tcW w:w="0" w:type="auto"/>
            <w:vAlign w:val="center"/>
          </w:tcPr>
          <w:p w:rsidR="004956E2" w:rsidRDefault="00E7380F">
            <w:pPr>
              <w:jc w:val="right"/>
            </w:pPr>
            <w:r>
              <w:rPr>
                <w:color w:val="000000"/>
                <w:kern w:val="0"/>
                <w:sz w:val="24"/>
                <w:szCs w:val="24"/>
              </w:rPr>
              <w:t>13,680,078.50</w:t>
            </w:r>
          </w:p>
        </w:tc>
        <w:tc>
          <w:tcPr>
            <w:tcW w:w="0" w:type="auto"/>
            <w:vAlign w:val="center"/>
          </w:tcPr>
          <w:p w:rsidR="004956E2" w:rsidRDefault="00E7380F">
            <w:pPr>
              <w:jc w:val="right"/>
            </w:pPr>
            <w:r>
              <w:rPr>
                <w:color w:val="000000"/>
                <w:kern w:val="0"/>
                <w:sz w:val="24"/>
                <w:szCs w:val="24"/>
              </w:rPr>
              <w:t>9.88</w:t>
            </w:r>
          </w:p>
        </w:tc>
      </w:tr>
      <w:tr w:rsidR="004956E2">
        <w:tc>
          <w:tcPr>
            <w:tcW w:w="0" w:type="auto"/>
            <w:vAlign w:val="center"/>
          </w:tcPr>
          <w:p w:rsidR="004956E2" w:rsidRDefault="00E7380F">
            <w:pPr>
              <w:jc w:val="center"/>
            </w:pPr>
            <w:r>
              <w:rPr>
                <w:color w:val="000000"/>
                <w:kern w:val="0"/>
                <w:sz w:val="24"/>
                <w:szCs w:val="24"/>
              </w:rPr>
              <w:t>4</w:t>
            </w:r>
          </w:p>
        </w:tc>
        <w:tc>
          <w:tcPr>
            <w:tcW w:w="0" w:type="auto"/>
            <w:vAlign w:val="center"/>
          </w:tcPr>
          <w:p w:rsidR="004956E2" w:rsidRDefault="00E7380F">
            <w:pPr>
              <w:jc w:val="center"/>
            </w:pPr>
            <w:r>
              <w:rPr>
                <w:color w:val="000000"/>
                <w:kern w:val="0"/>
                <w:sz w:val="24"/>
                <w:szCs w:val="24"/>
              </w:rPr>
              <w:t>000568</w:t>
            </w:r>
          </w:p>
        </w:tc>
        <w:tc>
          <w:tcPr>
            <w:tcW w:w="0" w:type="auto"/>
            <w:vAlign w:val="center"/>
          </w:tcPr>
          <w:p w:rsidR="004956E2" w:rsidRDefault="00E7380F">
            <w:pPr>
              <w:jc w:val="center"/>
            </w:pPr>
            <w:r>
              <w:rPr>
                <w:color w:val="000000"/>
                <w:kern w:val="0"/>
                <w:sz w:val="24"/>
                <w:szCs w:val="24"/>
              </w:rPr>
              <w:t>泸州老窖</w:t>
            </w:r>
          </w:p>
        </w:tc>
        <w:tc>
          <w:tcPr>
            <w:tcW w:w="0" w:type="auto"/>
            <w:vAlign w:val="center"/>
          </w:tcPr>
          <w:p w:rsidR="004956E2" w:rsidRDefault="00E7380F">
            <w:pPr>
              <w:jc w:val="right"/>
            </w:pPr>
            <w:r>
              <w:rPr>
                <w:color w:val="000000"/>
                <w:kern w:val="0"/>
                <w:sz w:val="24"/>
                <w:szCs w:val="24"/>
              </w:rPr>
              <w:t>157,309</w:t>
            </w:r>
          </w:p>
        </w:tc>
        <w:tc>
          <w:tcPr>
            <w:tcW w:w="0" w:type="auto"/>
            <w:vAlign w:val="center"/>
          </w:tcPr>
          <w:p w:rsidR="004956E2" w:rsidRDefault="00E7380F">
            <w:pPr>
              <w:jc w:val="right"/>
            </w:pPr>
            <w:r>
              <w:rPr>
                <w:color w:val="000000"/>
                <w:kern w:val="0"/>
                <w:sz w:val="24"/>
                <w:szCs w:val="24"/>
              </w:rPr>
              <w:t>13,635,544.12</w:t>
            </w:r>
          </w:p>
        </w:tc>
        <w:tc>
          <w:tcPr>
            <w:tcW w:w="0" w:type="auto"/>
            <w:vAlign w:val="center"/>
          </w:tcPr>
          <w:p w:rsidR="004956E2" w:rsidRDefault="00E7380F">
            <w:pPr>
              <w:jc w:val="right"/>
            </w:pPr>
            <w:r>
              <w:rPr>
                <w:color w:val="000000"/>
                <w:kern w:val="0"/>
                <w:sz w:val="24"/>
                <w:szCs w:val="24"/>
              </w:rPr>
              <w:t>9.84</w:t>
            </w:r>
          </w:p>
        </w:tc>
      </w:tr>
      <w:tr w:rsidR="004956E2">
        <w:tc>
          <w:tcPr>
            <w:tcW w:w="0" w:type="auto"/>
            <w:vAlign w:val="center"/>
          </w:tcPr>
          <w:p w:rsidR="004956E2" w:rsidRDefault="00E7380F">
            <w:pPr>
              <w:jc w:val="center"/>
            </w:pPr>
            <w:r>
              <w:rPr>
                <w:color w:val="000000"/>
                <w:kern w:val="0"/>
                <w:sz w:val="24"/>
                <w:szCs w:val="24"/>
              </w:rPr>
              <w:t>5</w:t>
            </w:r>
          </w:p>
        </w:tc>
        <w:tc>
          <w:tcPr>
            <w:tcW w:w="0" w:type="auto"/>
            <w:vAlign w:val="center"/>
          </w:tcPr>
          <w:p w:rsidR="004956E2" w:rsidRDefault="00E7380F">
            <w:pPr>
              <w:jc w:val="center"/>
            </w:pPr>
            <w:r>
              <w:rPr>
                <w:color w:val="000000"/>
                <w:kern w:val="0"/>
                <w:sz w:val="24"/>
                <w:szCs w:val="24"/>
              </w:rPr>
              <w:t>600519</w:t>
            </w:r>
          </w:p>
        </w:tc>
        <w:tc>
          <w:tcPr>
            <w:tcW w:w="0" w:type="auto"/>
            <w:vAlign w:val="center"/>
          </w:tcPr>
          <w:p w:rsidR="004956E2" w:rsidRDefault="00E7380F">
            <w:pPr>
              <w:jc w:val="center"/>
            </w:pPr>
            <w:r>
              <w:rPr>
                <w:color w:val="000000"/>
                <w:kern w:val="0"/>
                <w:sz w:val="24"/>
                <w:szCs w:val="24"/>
              </w:rPr>
              <w:t>贵州茅台</w:t>
            </w:r>
          </w:p>
        </w:tc>
        <w:tc>
          <w:tcPr>
            <w:tcW w:w="0" w:type="auto"/>
            <w:vAlign w:val="center"/>
          </w:tcPr>
          <w:p w:rsidR="004956E2" w:rsidRDefault="00E7380F">
            <w:pPr>
              <w:jc w:val="right"/>
            </w:pPr>
            <w:r>
              <w:rPr>
                <w:color w:val="000000"/>
                <w:kern w:val="0"/>
                <w:sz w:val="24"/>
                <w:szCs w:val="24"/>
              </w:rPr>
              <w:t>11,482</w:t>
            </w:r>
          </w:p>
        </w:tc>
        <w:tc>
          <w:tcPr>
            <w:tcW w:w="0" w:type="auto"/>
            <w:vAlign w:val="center"/>
          </w:tcPr>
          <w:p w:rsidR="004956E2" w:rsidRDefault="00E7380F">
            <w:pPr>
              <w:jc w:val="right"/>
            </w:pPr>
            <w:r>
              <w:rPr>
                <w:color w:val="000000"/>
                <w:kern w:val="0"/>
                <w:sz w:val="24"/>
                <w:szCs w:val="24"/>
              </w:rPr>
              <w:t>13,583,206.00</w:t>
            </w:r>
          </w:p>
        </w:tc>
        <w:tc>
          <w:tcPr>
            <w:tcW w:w="0" w:type="auto"/>
            <w:vAlign w:val="center"/>
          </w:tcPr>
          <w:p w:rsidR="004956E2" w:rsidRDefault="00E7380F">
            <w:pPr>
              <w:jc w:val="right"/>
            </w:pPr>
            <w:r>
              <w:rPr>
                <w:color w:val="000000"/>
                <w:kern w:val="0"/>
                <w:sz w:val="24"/>
                <w:szCs w:val="24"/>
              </w:rPr>
              <w:t>9.81</w:t>
            </w:r>
          </w:p>
        </w:tc>
      </w:tr>
      <w:tr w:rsidR="004956E2">
        <w:tc>
          <w:tcPr>
            <w:tcW w:w="0" w:type="auto"/>
            <w:vAlign w:val="center"/>
          </w:tcPr>
          <w:p w:rsidR="004956E2" w:rsidRDefault="00E7380F">
            <w:pPr>
              <w:jc w:val="center"/>
            </w:pPr>
            <w:r>
              <w:rPr>
                <w:color w:val="000000"/>
                <w:kern w:val="0"/>
                <w:sz w:val="24"/>
                <w:szCs w:val="24"/>
              </w:rPr>
              <w:t>6</w:t>
            </w:r>
          </w:p>
        </w:tc>
        <w:tc>
          <w:tcPr>
            <w:tcW w:w="0" w:type="auto"/>
            <w:vAlign w:val="center"/>
          </w:tcPr>
          <w:p w:rsidR="004956E2" w:rsidRDefault="00E7380F">
            <w:pPr>
              <w:jc w:val="center"/>
            </w:pPr>
            <w:r>
              <w:rPr>
                <w:color w:val="000000"/>
                <w:kern w:val="0"/>
                <w:sz w:val="24"/>
                <w:szCs w:val="24"/>
              </w:rPr>
              <w:t>002304</w:t>
            </w:r>
          </w:p>
        </w:tc>
        <w:tc>
          <w:tcPr>
            <w:tcW w:w="0" w:type="auto"/>
            <w:vAlign w:val="center"/>
          </w:tcPr>
          <w:p w:rsidR="004956E2" w:rsidRDefault="00E7380F">
            <w:pPr>
              <w:jc w:val="center"/>
            </w:pPr>
            <w:r>
              <w:rPr>
                <w:color w:val="000000"/>
                <w:kern w:val="0"/>
                <w:sz w:val="24"/>
                <w:szCs w:val="24"/>
              </w:rPr>
              <w:t>洋河股份</w:t>
            </w:r>
          </w:p>
        </w:tc>
        <w:tc>
          <w:tcPr>
            <w:tcW w:w="0" w:type="auto"/>
            <w:vAlign w:val="center"/>
          </w:tcPr>
          <w:p w:rsidR="004956E2" w:rsidRDefault="00E7380F">
            <w:pPr>
              <w:jc w:val="right"/>
            </w:pPr>
            <w:r>
              <w:rPr>
                <w:color w:val="000000"/>
                <w:kern w:val="0"/>
                <w:sz w:val="24"/>
                <w:szCs w:val="24"/>
              </w:rPr>
              <w:t>114,267</w:t>
            </w:r>
          </w:p>
        </w:tc>
        <w:tc>
          <w:tcPr>
            <w:tcW w:w="0" w:type="auto"/>
            <w:vAlign w:val="center"/>
          </w:tcPr>
          <w:p w:rsidR="004956E2" w:rsidRDefault="00E7380F">
            <w:pPr>
              <w:jc w:val="right"/>
            </w:pPr>
            <w:r>
              <w:rPr>
                <w:color w:val="000000"/>
                <w:kern w:val="0"/>
                <w:sz w:val="24"/>
                <w:szCs w:val="24"/>
              </w:rPr>
              <w:t>12,626,503.50</w:t>
            </w:r>
          </w:p>
        </w:tc>
        <w:tc>
          <w:tcPr>
            <w:tcW w:w="0" w:type="auto"/>
            <w:vAlign w:val="center"/>
          </w:tcPr>
          <w:p w:rsidR="004956E2" w:rsidRDefault="00E7380F">
            <w:pPr>
              <w:jc w:val="right"/>
            </w:pPr>
            <w:r>
              <w:rPr>
                <w:color w:val="000000"/>
                <w:kern w:val="0"/>
                <w:sz w:val="24"/>
                <w:szCs w:val="24"/>
              </w:rPr>
              <w:t>9.11</w:t>
            </w:r>
          </w:p>
        </w:tc>
      </w:tr>
      <w:tr w:rsidR="004956E2">
        <w:tc>
          <w:tcPr>
            <w:tcW w:w="0" w:type="auto"/>
            <w:vAlign w:val="center"/>
          </w:tcPr>
          <w:p w:rsidR="004956E2" w:rsidRDefault="00E7380F">
            <w:pPr>
              <w:jc w:val="center"/>
            </w:pPr>
            <w:r>
              <w:rPr>
                <w:color w:val="000000"/>
                <w:kern w:val="0"/>
                <w:sz w:val="24"/>
                <w:szCs w:val="24"/>
              </w:rPr>
              <w:t>7</w:t>
            </w:r>
          </w:p>
        </w:tc>
        <w:tc>
          <w:tcPr>
            <w:tcW w:w="0" w:type="auto"/>
            <w:vAlign w:val="center"/>
          </w:tcPr>
          <w:p w:rsidR="004956E2" w:rsidRDefault="00E7380F">
            <w:pPr>
              <w:jc w:val="center"/>
            </w:pPr>
            <w:r>
              <w:rPr>
                <w:color w:val="000000"/>
                <w:kern w:val="0"/>
                <w:sz w:val="24"/>
                <w:szCs w:val="24"/>
              </w:rPr>
              <w:t>600004</w:t>
            </w:r>
          </w:p>
        </w:tc>
        <w:tc>
          <w:tcPr>
            <w:tcW w:w="0" w:type="auto"/>
            <w:vAlign w:val="center"/>
          </w:tcPr>
          <w:p w:rsidR="004956E2" w:rsidRDefault="00E7380F">
            <w:pPr>
              <w:jc w:val="center"/>
            </w:pPr>
            <w:r>
              <w:rPr>
                <w:color w:val="000000"/>
                <w:kern w:val="0"/>
                <w:sz w:val="24"/>
                <w:szCs w:val="24"/>
              </w:rPr>
              <w:t>白云机场</w:t>
            </w:r>
          </w:p>
        </w:tc>
        <w:tc>
          <w:tcPr>
            <w:tcW w:w="0" w:type="auto"/>
            <w:vAlign w:val="center"/>
          </w:tcPr>
          <w:p w:rsidR="004956E2" w:rsidRDefault="00E7380F">
            <w:pPr>
              <w:jc w:val="right"/>
            </w:pPr>
            <w:r>
              <w:rPr>
                <w:color w:val="000000"/>
                <w:kern w:val="0"/>
                <w:sz w:val="24"/>
                <w:szCs w:val="24"/>
              </w:rPr>
              <w:t>554,572</w:t>
            </w:r>
          </w:p>
        </w:tc>
        <w:tc>
          <w:tcPr>
            <w:tcW w:w="0" w:type="auto"/>
            <w:vAlign w:val="center"/>
          </w:tcPr>
          <w:p w:rsidR="004956E2" w:rsidRDefault="00E7380F">
            <w:pPr>
              <w:jc w:val="right"/>
            </w:pPr>
            <w:r>
              <w:rPr>
                <w:color w:val="000000"/>
                <w:kern w:val="0"/>
                <w:sz w:val="24"/>
                <w:szCs w:val="24"/>
              </w:rPr>
              <w:t>9,677,281.40</w:t>
            </w:r>
          </w:p>
        </w:tc>
        <w:tc>
          <w:tcPr>
            <w:tcW w:w="0" w:type="auto"/>
            <w:vAlign w:val="center"/>
          </w:tcPr>
          <w:p w:rsidR="004956E2" w:rsidRDefault="00E7380F">
            <w:pPr>
              <w:jc w:val="right"/>
            </w:pPr>
            <w:r>
              <w:rPr>
                <w:color w:val="000000"/>
                <w:kern w:val="0"/>
                <w:sz w:val="24"/>
                <w:szCs w:val="24"/>
              </w:rPr>
              <w:t>6.99</w:t>
            </w:r>
          </w:p>
        </w:tc>
      </w:tr>
      <w:tr w:rsidR="004956E2">
        <w:tc>
          <w:tcPr>
            <w:tcW w:w="0" w:type="auto"/>
            <w:vAlign w:val="center"/>
          </w:tcPr>
          <w:p w:rsidR="004956E2" w:rsidRDefault="00E7380F">
            <w:pPr>
              <w:jc w:val="center"/>
            </w:pPr>
            <w:r>
              <w:rPr>
                <w:color w:val="000000"/>
                <w:kern w:val="0"/>
                <w:sz w:val="24"/>
                <w:szCs w:val="24"/>
              </w:rPr>
              <w:t>8</w:t>
            </w:r>
          </w:p>
        </w:tc>
        <w:tc>
          <w:tcPr>
            <w:tcW w:w="0" w:type="auto"/>
            <w:vAlign w:val="center"/>
          </w:tcPr>
          <w:p w:rsidR="004956E2" w:rsidRDefault="00E7380F">
            <w:pPr>
              <w:jc w:val="center"/>
            </w:pPr>
            <w:r>
              <w:rPr>
                <w:color w:val="000000"/>
                <w:kern w:val="0"/>
                <w:sz w:val="24"/>
                <w:szCs w:val="24"/>
              </w:rPr>
              <w:t>600809</w:t>
            </w:r>
          </w:p>
        </w:tc>
        <w:tc>
          <w:tcPr>
            <w:tcW w:w="0" w:type="auto"/>
            <w:vAlign w:val="center"/>
          </w:tcPr>
          <w:p w:rsidR="004956E2" w:rsidRDefault="00E7380F">
            <w:pPr>
              <w:jc w:val="center"/>
            </w:pPr>
            <w:r>
              <w:rPr>
                <w:color w:val="000000"/>
                <w:kern w:val="0"/>
                <w:sz w:val="24"/>
                <w:szCs w:val="24"/>
              </w:rPr>
              <w:t>山西汾酒</w:t>
            </w:r>
          </w:p>
        </w:tc>
        <w:tc>
          <w:tcPr>
            <w:tcW w:w="0" w:type="auto"/>
            <w:vAlign w:val="center"/>
          </w:tcPr>
          <w:p w:rsidR="004956E2" w:rsidRDefault="00E7380F">
            <w:pPr>
              <w:jc w:val="right"/>
            </w:pPr>
            <w:r>
              <w:rPr>
                <w:color w:val="000000"/>
                <w:kern w:val="0"/>
                <w:sz w:val="24"/>
                <w:szCs w:val="24"/>
              </w:rPr>
              <w:t>94,582</w:t>
            </w:r>
          </w:p>
        </w:tc>
        <w:tc>
          <w:tcPr>
            <w:tcW w:w="0" w:type="auto"/>
            <w:vAlign w:val="center"/>
          </w:tcPr>
          <w:p w:rsidR="004956E2" w:rsidRDefault="00E7380F">
            <w:pPr>
              <w:jc w:val="right"/>
            </w:pPr>
            <w:r>
              <w:rPr>
                <w:color w:val="000000"/>
                <w:kern w:val="0"/>
                <w:sz w:val="24"/>
                <w:szCs w:val="24"/>
              </w:rPr>
              <w:t>8,484,005.40</w:t>
            </w:r>
          </w:p>
        </w:tc>
        <w:tc>
          <w:tcPr>
            <w:tcW w:w="0" w:type="auto"/>
            <w:vAlign w:val="center"/>
          </w:tcPr>
          <w:p w:rsidR="004956E2" w:rsidRDefault="00E7380F">
            <w:pPr>
              <w:jc w:val="right"/>
            </w:pPr>
            <w:r>
              <w:rPr>
                <w:color w:val="000000"/>
                <w:kern w:val="0"/>
                <w:sz w:val="24"/>
                <w:szCs w:val="24"/>
              </w:rPr>
              <w:t>6.12</w:t>
            </w:r>
          </w:p>
        </w:tc>
      </w:tr>
      <w:tr w:rsidR="004956E2">
        <w:tc>
          <w:tcPr>
            <w:tcW w:w="0" w:type="auto"/>
            <w:vAlign w:val="center"/>
          </w:tcPr>
          <w:p w:rsidR="004956E2" w:rsidRDefault="00E7380F">
            <w:pPr>
              <w:jc w:val="center"/>
            </w:pPr>
            <w:r>
              <w:rPr>
                <w:color w:val="000000"/>
                <w:kern w:val="0"/>
                <w:sz w:val="24"/>
                <w:szCs w:val="24"/>
              </w:rPr>
              <w:t>9</w:t>
            </w:r>
          </w:p>
        </w:tc>
        <w:tc>
          <w:tcPr>
            <w:tcW w:w="0" w:type="auto"/>
            <w:vAlign w:val="center"/>
          </w:tcPr>
          <w:p w:rsidR="004956E2" w:rsidRDefault="00E7380F">
            <w:pPr>
              <w:jc w:val="center"/>
            </w:pPr>
            <w:r>
              <w:rPr>
                <w:color w:val="000000"/>
                <w:kern w:val="0"/>
                <w:sz w:val="24"/>
                <w:szCs w:val="24"/>
              </w:rPr>
              <w:t>600161</w:t>
            </w:r>
          </w:p>
        </w:tc>
        <w:tc>
          <w:tcPr>
            <w:tcW w:w="0" w:type="auto"/>
            <w:vAlign w:val="center"/>
          </w:tcPr>
          <w:p w:rsidR="004956E2" w:rsidRDefault="00E7380F">
            <w:pPr>
              <w:jc w:val="center"/>
            </w:pPr>
            <w:r>
              <w:rPr>
                <w:color w:val="000000"/>
                <w:kern w:val="0"/>
                <w:sz w:val="24"/>
                <w:szCs w:val="24"/>
              </w:rPr>
              <w:t>天坛生物</w:t>
            </w:r>
          </w:p>
        </w:tc>
        <w:tc>
          <w:tcPr>
            <w:tcW w:w="0" w:type="auto"/>
            <w:vAlign w:val="center"/>
          </w:tcPr>
          <w:p w:rsidR="004956E2" w:rsidRDefault="00E7380F">
            <w:pPr>
              <w:jc w:val="right"/>
            </w:pPr>
            <w:r>
              <w:rPr>
                <w:color w:val="000000"/>
                <w:kern w:val="0"/>
                <w:sz w:val="24"/>
                <w:szCs w:val="24"/>
              </w:rPr>
              <w:t>252,840</w:t>
            </w:r>
          </w:p>
        </w:tc>
        <w:tc>
          <w:tcPr>
            <w:tcW w:w="0" w:type="auto"/>
            <w:vAlign w:val="center"/>
          </w:tcPr>
          <w:p w:rsidR="004956E2" w:rsidRDefault="00E7380F">
            <w:pPr>
              <w:jc w:val="right"/>
            </w:pPr>
            <w:r>
              <w:rPr>
                <w:color w:val="000000"/>
                <w:kern w:val="0"/>
                <w:sz w:val="24"/>
                <w:szCs w:val="24"/>
              </w:rPr>
              <w:t>7,064,349.60</w:t>
            </w:r>
          </w:p>
        </w:tc>
        <w:tc>
          <w:tcPr>
            <w:tcW w:w="0" w:type="auto"/>
            <w:vAlign w:val="center"/>
          </w:tcPr>
          <w:p w:rsidR="004956E2" w:rsidRDefault="00E7380F">
            <w:pPr>
              <w:jc w:val="right"/>
            </w:pPr>
            <w:r>
              <w:rPr>
                <w:color w:val="000000"/>
                <w:kern w:val="0"/>
                <w:sz w:val="24"/>
                <w:szCs w:val="24"/>
              </w:rPr>
              <w:t>5.10</w:t>
            </w:r>
          </w:p>
        </w:tc>
      </w:tr>
      <w:tr w:rsidR="004956E2">
        <w:tc>
          <w:tcPr>
            <w:tcW w:w="0" w:type="auto"/>
            <w:vAlign w:val="center"/>
          </w:tcPr>
          <w:p w:rsidR="004956E2" w:rsidRDefault="00E7380F">
            <w:pPr>
              <w:jc w:val="center"/>
            </w:pPr>
            <w:r>
              <w:rPr>
                <w:color w:val="000000"/>
                <w:kern w:val="0"/>
                <w:sz w:val="24"/>
                <w:szCs w:val="24"/>
              </w:rPr>
              <w:t>10</w:t>
            </w:r>
          </w:p>
        </w:tc>
        <w:tc>
          <w:tcPr>
            <w:tcW w:w="0" w:type="auto"/>
            <w:vAlign w:val="center"/>
          </w:tcPr>
          <w:p w:rsidR="004956E2" w:rsidRDefault="00E7380F">
            <w:pPr>
              <w:jc w:val="center"/>
            </w:pPr>
            <w:r>
              <w:rPr>
                <w:color w:val="000000"/>
                <w:kern w:val="0"/>
                <w:sz w:val="24"/>
                <w:szCs w:val="24"/>
              </w:rPr>
              <w:t>600887</w:t>
            </w:r>
          </w:p>
        </w:tc>
        <w:tc>
          <w:tcPr>
            <w:tcW w:w="0" w:type="auto"/>
            <w:vAlign w:val="center"/>
          </w:tcPr>
          <w:p w:rsidR="004956E2" w:rsidRDefault="00E7380F">
            <w:pPr>
              <w:jc w:val="center"/>
            </w:pPr>
            <w:r>
              <w:rPr>
                <w:color w:val="000000"/>
                <w:kern w:val="0"/>
                <w:sz w:val="24"/>
                <w:szCs w:val="24"/>
              </w:rPr>
              <w:t>伊利股份</w:t>
            </w:r>
          </w:p>
        </w:tc>
        <w:tc>
          <w:tcPr>
            <w:tcW w:w="0" w:type="auto"/>
            <w:vAlign w:val="center"/>
          </w:tcPr>
          <w:p w:rsidR="004956E2" w:rsidRDefault="00E7380F">
            <w:pPr>
              <w:jc w:val="right"/>
            </w:pPr>
            <w:r>
              <w:rPr>
                <w:color w:val="000000"/>
                <w:kern w:val="0"/>
                <w:sz w:val="24"/>
                <w:szCs w:val="24"/>
              </w:rPr>
              <w:t>152,800</w:t>
            </w:r>
          </w:p>
        </w:tc>
        <w:tc>
          <w:tcPr>
            <w:tcW w:w="0" w:type="auto"/>
            <w:vAlign w:val="center"/>
          </w:tcPr>
          <w:p w:rsidR="004956E2" w:rsidRDefault="00E7380F">
            <w:pPr>
              <w:jc w:val="right"/>
            </w:pPr>
            <w:r>
              <w:rPr>
                <w:color w:val="000000"/>
                <w:kern w:val="0"/>
                <w:sz w:val="24"/>
                <w:szCs w:val="24"/>
              </w:rPr>
              <w:t>4,727,632.00</w:t>
            </w:r>
          </w:p>
        </w:tc>
        <w:tc>
          <w:tcPr>
            <w:tcW w:w="0" w:type="auto"/>
            <w:vAlign w:val="center"/>
          </w:tcPr>
          <w:p w:rsidR="004956E2" w:rsidRDefault="00E7380F">
            <w:pPr>
              <w:jc w:val="right"/>
            </w:pPr>
            <w:r>
              <w:rPr>
                <w:color w:val="000000"/>
                <w:kern w:val="0"/>
                <w:sz w:val="24"/>
                <w:szCs w:val="24"/>
              </w:rPr>
              <w:t>3.41</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R="00750D48" w:rsidRPr="00232B03" w:rsidRDefault="00CA4677" w:rsidP="00403A06">
      <w:pPr>
        <w:spacing w:line="360" w:lineRule="auto"/>
        <w:ind w:firstLineChars="200" w:firstLine="480"/>
        <w:rPr>
          <w:color w:val="000000"/>
          <w:sz w:val="24"/>
          <w:szCs w:val="24"/>
        </w:rPr>
      </w:pPr>
      <w:r w:rsidRPr="00403A06">
        <w:rPr>
          <w:color w:val="000000"/>
          <w:sz w:val="24"/>
          <w:szCs w:val="24"/>
        </w:rPr>
        <w:t>本基金本报告期末未持有债券。</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本基金本报告期末未持有债券。</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63,401.74</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2,284,578.61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2,388.17</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291,376.21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2,641,744.73</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184,647,068.77</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17,889,839.34</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103,674,891.01</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98,862,017.10</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4B7A92" w:rsidRPr="004B7A92" w:rsidRDefault="00013E6E" w:rsidP="004B7A92">
      <w:pPr>
        <w:pStyle w:val="1"/>
        <w:spacing w:beforeLines="100" w:before="312" w:afterLines="100" w:after="312" w:line="360" w:lineRule="auto"/>
        <w:jc w:val="center"/>
        <w:rPr>
          <w:rFonts w:ascii="宋体" w:hAnsi="宋体"/>
          <w:color w:val="000000"/>
          <w:kern w:val="0"/>
          <w:sz w:val="24"/>
          <w:szCs w:val="24"/>
        </w:rPr>
      </w:pPr>
      <w:r w:rsidRPr="00264E55">
        <w:rPr>
          <w:rFonts w:ascii="宋体" w:hAnsi="宋体" w:hint="eastAsia"/>
          <w:color w:val="000000"/>
          <w:kern w:val="0"/>
          <w:sz w:val="24"/>
          <w:szCs w:val="24"/>
        </w:rPr>
        <w:t>§</w:t>
      </w:r>
      <w:r w:rsidR="004B7A92" w:rsidRPr="004B7A92">
        <w:rPr>
          <w:rFonts w:ascii="宋体" w:hAnsi="宋体"/>
          <w:color w:val="000000"/>
          <w:kern w:val="0"/>
          <w:sz w:val="24"/>
          <w:szCs w:val="24"/>
        </w:rPr>
        <w:t>8</w:t>
      </w:r>
      <w:r w:rsidR="0043199A" w:rsidRPr="00264E55">
        <w:rPr>
          <w:rFonts w:ascii="宋体" w:hAnsi="宋体"/>
          <w:color w:val="000000"/>
          <w:kern w:val="0"/>
          <w:sz w:val="24"/>
          <w:szCs w:val="24"/>
        </w:rPr>
        <w:t xml:space="preserve">  </w:t>
      </w:r>
      <w:r w:rsidR="004B7A92" w:rsidRPr="004B7A92">
        <w:rPr>
          <w:rFonts w:ascii="宋体" w:hAnsi="宋体"/>
          <w:color w:val="000000"/>
          <w:kern w:val="0"/>
          <w:sz w:val="24"/>
          <w:szCs w:val="24"/>
        </w:rPr>
        <w:t>影响投资者决策的其他重要信息</w:t>
      </w:r>
    </w:p>
    <w:p w:rsidR="001F5F5D" w:rsidRPr="001F5F5D" w:rsidRDefault="001F5F5D" w:rsidP="001F5F5D">
      <w:pPr>
        <w:autoSpaceDE w:val="0"/>
        <w:autoSpaceDN w:val="0"/>
        <w:adjustRightInd w:val="0"/>
        <w:spacing w:line="360" w:lineRule="auto"/>
        <w:jc w:val="left"/>
        <w:rPr>
          <w:rFonts w:ascii="宋体"/>
          <w:b/>
          <w:bCs/>
          <w:color w:val="000000"/>
          <w:kern w:val="0"/>
          <w:sz w:val="24"/>
          <w:szCs w:val="24"/>
        </w:rPr>
      </w:pPr>
      <w:r w:rsidRPr="001F5F5D">
        <w:rPr>
          <w:rFonts w:ascii="宋体"/>
          <w:b/>
          <w:bCs/>
          <w:color w:val="000000"/>
          <w:kern w:val="0"/>
          <w:sz w:val="24"/>
          <w:szCs w:val="24"/>
        </w:rPr>
        <w:t>8.1 报告期内单一投资者持有基金份额比例达到或超过20%的情况</w:t>
      </w:r>
    </w:p>
    <w:tbl>
      <w:tblPr>
        <w:tblStyle w:val="af7"/>
        <w:tblW w:w="9640" w:type="dxa"/>
        <w:jc w:val="center"/>
        <w:tblLayout w:type="fixed"/>
        <w:tblLook w:val="04A0" w:firstRow="1" w:lastRow="0" w:firstColumn="1" w:lastColumn="0" w:noHBand="0" w:noVBand="1"/>
      </w:tblPr>
      <w:tblGrid>
        <w:gridCol w:w="1798"/>
        <w:gridCol w:w="709"/>
        <w:gridCol w:w="1985"/>
        <w:gridCol w:w="1134"/>
        <w:gridCol w:w="992"/>
        <w:gridCol w:w="1134"/>
        <w:gridCol w:w="1037"/>
        <w:gridCol w:w="848"/>
        <w:gridCol w:w="3"/>
      </w:tblGrid>
      <w:tr w:rsidR="001F5F5D" w:rsidRPr="00FC0759" w:rsidTr="007125DB">
        <w:trPr>
          <w:jc w:val="center"/>
        </w:trPr>
        <w:tc>
          <w:tcPr>
            <w:tcW w:w="1798" w:type="dxa"/>
            <w:vMerge w:val="restart"/>
            <w:vAlign w:val="center"/>
          </w:tcPr>
          <w:p w:rsidR="001F5F5D" w:rsidRPr="00FC0759" w:rsidRDefault="001F5F5D" w:rsidP="00D9482C">
            <w:pPr>
              <w:autoSpaceDE w:val="0"/>
              <w:autoSpaceDN w:val="0"/>
              <w:adjustRightInd w:val="0"/>
              <w:jc w:val="center"/>
              <w:rPr>
                <w:rFonts w:eastAsiaTheme="minorEastAsia"/>
                <w:b/>
                <w:bCs/>
                <w:color w:val="000000" w:themeColor="text1"/>
                <w:sz w:val="24"/>
                <w:szCs w:val="24"/>
              </w:rPr>
            </w:pPr>
            <w:r w:rsidRPr="00FC0759">
              <w:rPr>
                <w:color w:val="000000"/>
                <w:sz w:val="24"/>
                <w:szCs w:val="24"/>
              </w:rPr>
              <w:t>投资者类别</w:t>
            </w:r>
          </w:p>
        </w:tc>
        <w:tc>
          <w:tcPr>
            <w:tcW w:w="5954" w:type="dxa"/>
            <w:gridSpan w:val="5"/>
            <w:vAlign w:val="center"/>
          </w:tcPr>
          <w:p w:rsidR="001F5F5D" w:rsidRPr="00FC0759" w:rsidRDefault="001F5F5D" w:rsidP="00D9482C">
            <w:pPr>
              <w:autoSpaceDE w:val="0"/>
              <w:autoSpaceDN w:val="0"/>
              <w:adjustRightInd w:val="0"/>
              <w:ind w:firstLine="1126"/>
              <w:jc w:val="center"/>
              <w:rPr>
                <w:rFonts w:eastAsiaTheme="minorEastAsia"/>
                <w:b/>
                <w:bCs/>
                <w:color w:val="000000" w:themeColor="text1"/>
                <w:sz w:val="24"/>
                <w:szCs w:val="24"/>
              </w:rPr>
            </w:pPr>
            <w:r w:rsidRPr="00FC0759">
              <w:rPr>
                <w:color w:val="000000"/>
                <w:sz w:val="24"/>
                <w:szCs w:val="24"/>
              </w:rPr>
              <w:t>报告期内持有基金份额变化情况</w:t>
            </w:r>
          </w:p>
        </w:tc>
        <w:tc>
          <w:tcPr>
            <w:tcW w:w="1888" w:type="dxa"/>
            <w:gridSpan w:val="3"/>
            <w:vAlign w:val="center"/>
          </w:tcPr>
          <w:p w:rsidR="001F5F5D" w:rsidRPr="00FC0759" w:rsidRDefault="001F5F5D" w:rsidP="00D9482C">
            <w:pPr>
              <w:autoSpaceDE w:val="0"/>
              <w:autoSpaceDN w:val="0"/>
              <w:adjustRightInd w:val="0"/>
              <w:jc w:val="center"/>
              <w:rPr>
                <w:rFonts w:eastAsiaTheme="minorEastAsia"/>
                <w:b/>
                <w:bCs/>
                <w:color w:val="000000" w:themeColor="text1"/>
                <w:sz w:val="24"/>
                <w:szCs w:val="24"/>
              </w:rPr>
            </w:pPr>
            <w:r w:rsidRPr="00FC0759">
              <w:rPr>
                <w:color w:val="000000"/>
                <w:sz w:val="24"/>
                <w:szCs w:val="24"/>
              </w:rPr>
              <w:t>报告期末持有基金情况</w:t>
            </w:r>
          </w:p>
        </w:tc>
      </w:tr>
      <w:tr w:rsidR="001F5F5D" w:rsidRPr="00FC0759" w:rsidTr="007125DB">
        <w:trPr>
          <w:jc w:val="center"/>
        </w:trPr>
        <w:tc>
          <w:tcPr>
            <w:tcW w:w="1798" w:type="dxa"/>
            <w:vMerge/>
            <w:vAlign w:val="center"/>
          </w:tcPr>
          <w:p w:rsidR="001F5F5D" w:rsidRPr="00FC0759" w:rsidRDefault="001F5F5D" w:rsidP="00D9482C">
            <w:pPr>
              <w:autoSpaceDE w:val="0"/>
              <w:autoSpaceDN w:val="0"/>
              <w:adjustRightInd w:val="0"/>
              <w:ind w:firstLine="1234"/>
              <w:jc w:val="center"/>
              <w:rPr>
                <w:rFonts w:eastAsiaTheme="minorEastAsia"/>
                <w:b/>
                <w:bCs/>
                <w:color w:val="000000" w:themeColor="text1"/>
                <w:sz w:val="24"/>
                <w:szCs w:val="24"/>
              </w:rPr>
            </w:pPr>
          </w:p>
        </w:tc>
        <w:tc>
          <w:tcPr>
            <w:tcW w:w="709" w:type="dxa"/>
            <w:vAlign w:val="center"/>
          </w:tcPr>
          <w:p w:rsidR="001F5F5D" w:rsidRPr="00FC0759" w:rsidRDefault="001F5F5D" w:rsidP="00D9482C">
            <w:pPr>
              <w:autoSpaceDE w:val="0"/>
              <w:autoSpaceDN w:val="0"/>
              <w:adjustRightInd w:val="0"/>
              <w:jc w:val="center"/>
              <w:rPr>
                <w:rFonts w:eastAsiaTheme="minorEastAsia"/>
                <w:b/>
                <w:bCs/>
                <w:color w:val="000000" w:themeColor="text1"/>
                <w:sz w:val="24"/>
                <w:szCs w:val="24"/>
              </w:rPr>
            </w:pPr>
            <w:r w:rsidRPr="00FC0759">
              <w:rPr>
                <w:color w:val="000000"/>
                <w:sz w:val="24"/>
                <w:szCs w:val="24"/>
              </w:rPr>
              <w:t>序号</w:t>
            </w:r>
          </w:p>
        </w:tc>
        <w:tc>
          <w:tcPr>
            <w:tcW w:w="1985" w:type="dxa"/>
            <w:vAlign w:val="center"/>
          </w:tcPr>
          <w:p w:rsidR="001F5F5D" w:rsidRPr="00FC0759" w:rsidRDefault="001F5F5D" w:rsidP="00D9482C">
            <w:pPr>
              <w:autoSpaceDE w:val="0"/>
              <w:autoSpaceDN w:val="0"/>
              <w:adjustRightInd w:val="0"/>
              <w:jc w:val="center"/>
              <w:rPr>
                <w:rFonts w:eastAsiaTheme="minorEastAsia"/>
                <w:b/>
                <w:bCs/>
                <w:color w:val="000000" w:themeColor="text1"/>
                <w:sz w:val="24"/>
                <w:szCs w:val="24"/>
              </w:rPr>
            </w:pPr>
            <w:r w:rsidRPr="00FC0759">
              <w:rPr>
                <w:color w:val="000000"/>
                <w:sz w:val="24"/>
                <w:szCs w:val="24"/>
              </w:rPr>
              <w:t>持有基金份额比例达到或者超过</w:t>
            </w:r>
            <w:r w:rsidRPr="00FC0759">
              <w:rPr>
                <w:color w:val="000000"/>
                <w:sz w:val="24"/>
                <w:szCs w:val="24"/>
              </w:rPr>
              <w:t>20%</w:t>
            </w:r>
            <w:r w:rsidRPr="00FC0759">
              <w:rPr>
                <w:color w:val="000000"/>
                <w:sz w:val="24"/>
                <w:szCs w:val="24"/>
              </w:rPr>
              <w:t>的时间区间</w:t>
            </w:r>
          </w:p>
        </w:tc>
        <w:tc>
          <w:tcPr>
            <w:tcW w:w="1134" w:type="dxa"/>
            <w:vAlign w:val="center"/>
          </w:tcPr>
          <w:p w:rsidR="001F5F5D" w:rsidRPr="00FC0759" w:rsidRDefault="001F5F5D" w:rsidP="00D9482C">
            <w:pPr>
              <w:widowControl/>
              <w:rPr>
                <w:rFonts w:eastAsiaTheme="minorEastAsia"/>
                <w:b/>
                <w:bCs/>
                <w:color w:val="000000" w:themeColor="text1"/>
                <w:sz w:val="24"/>
                <w:szCs w:val="24"/>
              </w:rPr>
            </w:pPr>
            <w:r w:rsidRPr="00FC0759">
              <w:rPr>
                <w:color w:val="000000"/>
                <w:sz w:val="24"/>
                <w:szCs w:val="24"/>
              </w:rPr>
              <w:t>期初份额</w:t>
            </w:r>
          </w:p>
        </w:tc>
        <w:tc>
          <w:tcPr>
            <w:tcW w:w="992" w:type="dxa"/>
            <w:vAlign w:val="center"/>
          </w:tcPr>
          <w:p w:rsidR="001F5F5D" w:rsidRPr="00FC0759" w:rsidRDefault="001F5F5D" w:rsidP="00D9482C">
            <w:pPr>
              <w:widowControl/>
              <w:rPr>
                <w:rFonts w:eastAsiaTheme="minorEastAsia"/>
                <w:b/>
                <w:bCs/>
                <w:color w:val="000000" w:themeColor="text1"/>
                <w:sz w:val="24"/>
                <w:szCs w:val="24"/>
              </w:rPr>
            </w:pPr>
            <w:r w:rsidRPr="00FC0759">
              <w:rPr>
                <w:color w:val="000000"/>
                <w:sz w:val="24"/>
                <w:szCs w:val="24"/>
              </w:rPr>
              <w:t>申购份额</w:t>
            </w:r>
          </w:p>
        </w:tc>
        <w:tc>
          <w:tcPr>
            <w:tcW w:w="1134" w:type="dxa"/>
            <w:vAlign w:val="center"/>
          </w:tcPr>
          <w:p w:rsidR="001F5F5D" w:rsidRPr="00FC0759" w:rsidRDefault="001F5F5D" w:rsidP="00D9482C">
            <w:pPr>
              <w:widowControl/>
              <w:rPr>
                <w:rFonts w:eastAsiaTheme="minorEastAsia"/>
                <w:b/>
                <w:bCs/>
                <w:color w:val="000000" w:themeColor="text1"/>
                <w:sz w:val="24"/>
                <w:szCs w:val="24"/>
              </w:rPr>
            </w:pPr>
            <w:r w:rsidRPr="00FC0759">
              <w:rPr>
                <w:color w:val="000000"/>
                <w:sz w:val="24"/>
                <w:szCs w:val="24"/>
              </w:rPr>
              <w:t>赎回份额</w:t>
            </w:r>
          </w:p>
        </w:tc>
        <w:tc>
          <w:tcPr>
            <w:tcW w:w="1037" w:type="dxa"/>
            <w:vAlign w:val="center"/>
          </w:tcPr>
          <w:p w:rsidR="001F5F5D" w:rsidRPr="00FC0759" w:rsidRDefault="001F5F5D" w:rsidP="00D9482C">
            <w:pPr>
              <w:autoSpaceDE w:val="0"/>
              <w:autoSpaceDN w:val="0"/>
              <w:adjustRightInd w:val="0"/>
              <w:jc w:val="center"/>
              <w:rPr>
                <w:rFonts w:eastAsiaTheme="minorEastAsia"/>
                <w:b/>
                <w:bCs/>
                <w:color w:val="000000" w:themeColor="text1"/>
                <w:sz w:val="24"/>
                <w:szCs w:val="24"/>
              </w:rPr>
            </w:pPr>
            <w:r w:rsidRPr="00FC0759">
              <w:rPr>
                <w:color w:val="000000"/>
                <w:sz w:val="24"/>
                <w:szCs w:val="24"/>
              </w:rPr>
              <w:t>持有份额</w:t>
            </w:r>
          </w:p>
        </w:tc>
        <w:tc>
          <w:tcPr>
            <w:tcW w:w="851" w:type="dxa"/>
            <w:gridSpan w:val="2"/>
            <w:vAlign w:val="center"/>
          </w:tcPr>
          <w:p w:rsidR="001F5F5D" w:rsidRPr="00FC0759" w:rsidRDefault="001F5F5D" w:rsidP="00D9482C">
            <w:pPr>
              <w:autoSpaceDE w:val="0"/>
              <w:autoSpaceDN w:val="0"/>
              <w:adjustRightInd w:val="0"/>
              <w:jc w:val="center"/>
              <w:rPr>
                <w:rFonts w:eastAsiaTheme="minorEastAsia"/>
                <w:b/>
                <w:bCs/>
                <w:color w:val="000000" w:themeColor="text1"/>
                <w:sz w:val="24"/>
                <w:szCs w:val="24"/>
              </w:rPr>
            </w:pPr>
            <w:r w:rsidRPr="00FC0759">
              <w:rPr>
                <w:color w:val="000000"/>
                <w:sz w:val="24"/>
                <w:szCs w:val="24"/>
              </w:rPr>
              <w:t>份额占比</w:t>
            </w:r>
          </w:p>
        </w:tc>
      </w:tr>
      <w:tr w:rsidR="004956E2">
        <w:trPr>
          <w:jc w:val="center"/>
        </w:trPr>
        <w:tc>
          <w:tcPr>
            <w:tcW w:w="0" w:type="auto"/>
            <w:vMerge w:val="restart"/>
            <w:vAlign w:val="center"/>
          </w:tcPr>
          <w:p w:rsidR="004956E2" w:rsidRDefault="00E7380F">
            <w:r>
              <w:rPr>
                <w:rFonts w:eastAsiaTheme="minorEastAsia"/>
                <w:bCs/>
                <w:color w:val="000000" w:themeColor="text1"/>
                <w:sz w:val="24"/>
                <w:szCs w:val="24"/>
              </w:rPr>
              <w:t>机构</w:t>
            </w:r>
          </w:p>
        </w:tc>
        <w:tc>
          <w:tcPr>
            <w:tcW w:w="0" w:type="auto"/>
            <w:vAlign w:val="center"/>
          </w:tcPr>
          <w:p w:rsidR="004956E2" w:rsidRDefault="00E7380F">
            <w:pPr>
              <w:jc w:val="center"/>
            </w:pPr>
            <w:r>
              <w:rPr>
                <w:sz w:val="24"/>
                <w:szCs w:val="24"/>
              </w:rPr>
              <w:t>1</w:t>
            </w:r>
          </w:p>
        </w:tc>
        <w:tc>
          <w:tcPr>
            <w:tcW w:w="0" w:type="auto"/>
            <w:vAlign w:val="center"/>
          </w:tcPr>
          <w:p w:rsidR="004956E2" w:rsidRDefault="00E7380F">
            <w:pPr>
              <w:jc w:val="center"/>
            </w:pPr>
            <w:r>
              <w:rPr>
                <w:sz w:val="24"/>
                <w:szCs w:val="24"/>
              </w:rPr>
              <w:t>2019</w:t>
            </w:r>
            <w:r>
              <w:rPr>
                <w:sz w:val="24"/>
                <w:szCs w:val="24"/>
              </w:rPr>
              <w:t>年</w:t>
            </w:r>
            <w:r>
              <w:rPr>
                <w:sz w:val="24"/>
                <w:szCs w:val="24"/>
              </w:rPr>
              <w:t>10</w:t>
            </w:r>
            <w:r>
              <w:rPr>
                <w:sz w:val="24"/>
                <w:szCs w:val="24"/>
              </w:rPr>
              <w:t>月</w:t>
            </w:r>
            <w:r>
              <w:rPr>
                <w:sz w:val="24"/>
                <w:szCs w:val="24"/>
              </w:rPr>
              <w:t>01</w:t>
            </w:r>
            <w:r>
              <w:rPr>
                <w:sz w:val="24"/>
                <w:szCs w:val="24"/>
              </w:rPr>
              <w:t>日</w:t>
            </w:r>
            <w:r>
              <w:rPr>
                <w:sz w:val="24"/>
                <w:szCs w:val="24"/>
              </w:rPr>
              <w:t>~2019</w:t>
            </w:r>
            <w:r>
              <w:rPr>
                <w:sz w:val="24"/>
                <w:szCs w:val="24"/>
              </w:rPr>
              <w:t>年</w:t>
            </w:r>
            <w:r>
              <w:rPr>
                <w:sz w:val="24"/>
                <w:szCs w:val="24"/>
              </w:rPr>
              <w:t>11</w:t>
            </w:r>
            <w:r>
              <w:rPr>
                <w:sz w:val="24"/>
                <w:szCs w:val="24"/>
              </w:rPr>
              <w:t>月</w:t>
            </w:r>
            <w:r>
              <w:rPr>
                <w:sz w:val="24"/>
                <w:szCs w:val="24"/>
              </w:rPr>
              <w:t>21</w:t>
            </w:r>
            <w:r>
              <w:rPr>
                <w:sz w:val="24"/>
                <w:szCs w:val="24"/>
              </w:rPr>
              <w:t>日</w:t>
            </w:r>
          </w:p>
        </w:tc>
        <w:tc>
          <w:tcPr>
            <w:tcW w:w="0" w:type="auto"/>
            <w:vAlign w:val="center"/>
          </w:tcPr>
          <w:p w:rsidR="004956E2" w:rsidRDefault="00E7380F">
            <w:pPr>
              <w:jc w:val="center"/>
            </w:pPr>
            <w:r>
              <w:rPr>
                <w:sz w:val="24"/>
                <w:szCs w:val="24"/>
              </w:rPr>
              <w:t>51,743,227.14</w:t>
            </w:r>
          </w:p>
        </w:tc>
        <w:tc>
          <w:tcPr>
            <w:tcW w:w="0" w:type="auto"/>
            <w:vAlign w:val="center"/>
          </w:tcPr>
          <w:p w:rsidR="004956E2" w:rsidRDefault="00E7380F">
            <w:pPr>
              <w:jc w:val="center"/>
            </w:pPr>
            <w:r>
              <w:rPr>
                <w:sz w:val="24"/>
                <w:szCs w:val="24"/>
              </w:rPr>
              <w:t>-</w:t>
            </w:r>
          </w:p>
        </w:tc>
        <w:tc>
          <w:tcPr>
            <w:tcW w:w="0" w:type="auto"/>
            <w:vAlign w:val="center"/>
          </w:tcPr>
          <w:p w:rsidR="004956E2" w:rsidRDefault="00E7380F">
            <w:pPr>
              <w:jc w:val="center"/>
            </w:pPr>
            <w:r>
              <w:rPr>
                <w:sz w:val="24"/>
                <w:szCs w:val="24"/>
              </w:rPr>
              <w:t>51,743,227.14</w:t>
            </w:r>
          </w:p>
        </w:tc>
        <w:tc>
          <w:tcPr>
            <w:tcW w:w="0" w:type="auto"/>
            <w:vAlign w:val="center"/>
          </w:tcPr>
          <w:p w:rsidR="004956E2" w:rsidRDefault="00E7380F">
            <w:pPr>
              <w:jc w:val="center"/>
            </w:pPr>
            <w:r>
              <w:rPr>
                <w:sz w:val="24"/>
                <w:szCs w:val="24"/>
              </w:rPr>
              <w:t>-</w:t>
            </w:r>
          </w:p>
        </w:tc>
        <w:tc>
          <w:tcPr>
            <w:tcW w:w="0" w:type="auto"/>
            <w:gridSpan w:val="2"/>
            <w:vAlign w:val="center"/>
          </w:tcPr>
          <w:p w:rsidR="004956E2" w:rsidRDefault="00E7380F">
            <w:pPr>
              <w:jc w:val="center"/>
            </w:pPr>
            <w:r>
              <w:rPr>
                <w:sz w:val="24"/>
                <w:szCs w:val="24"/>
              </w:rPr>
              <w:t>-</w:t>
            </w:r>
          </w:p>
        </w:tc>
      </w:tr>
      <w:tr w:rsidR="001F5F5D" w:rsidRPr="00FC0759" w:rsidTr="00D9482C">
        <w:trPr>
          <w:gridAfter w:val="1"/>
          <w:jc w:val="center"/>
        </w:trPr>
        <w:tc>
          <w:tcPr>
            <w:tcW w:w="9637" w:type="dxa"/>
            <w:gridSpan w:val="8"/>
            <w:vAlign w:val="center"/>
          </w:tcPr>
          <w:p w:rsidR="001F5F5D" w:rsidRPr="00FC0759" w:rsidRDefault="001F5F5D" w:rsidP="003350A8">
            <w:pPr>
              <w:autoSpaceDE w:val="0"/>
              <w:autoSpaceDN w:val="0"/>
              <w:adjustRightInd w:val="0"/>
              <w:jc w:val="center"/>
              <w:rPr>
                <w:sz w:val="24"/>
                <w:szCs w:val="24"/>
              </w:rPr>
            </w:pPr>
            <w:r w:rsidRPr="00FC0759">
              <w:rPr>
                <w:color w:val="000000"/>
                <w:sz w:val="24"/>
                <w:szCs w:val="24"/>
              </w:rPr>
              <w:t>产品特有风险</w:t>
            </w:r>
          </w:p>
        </w:tc>
      </w:tr>
      <w:tr w:rsidR="001F5F5D" w:rsidRPr="00FC0759" w:rsidTr="00D9482C">
        <w:trPr>
          <w:gridAfter w:val="1"/>
          <w:jc w:val="center"/>
        </w:trPr>
        <w:tc>
          <w:tcPr>
            <w:tcW w:w="9637" w:type="dxa"/>
            <w:gridSpan w:val="8"/>
            <w:vAlign w:val="center"/>
          </w:tcPr>
          <w:p w:rsidR="001F5F5D" w:rsidRPr="00FC0759" w:rsidRDefault="001F5F5D" w:rsidP="00D9482C">
            <w:pPr>
              <w:autoSpaceDE w:val="0"/>
              <w:autoSpaceDN w:val="0"/>
              <w:adjustRightInd w:val="0"/>
              <w:jc w:val="left"/>
              <w:rPr>
                <w:sz w:val="24"/>
                <w:szCs w:val="24"/>
              </w:rPr>
            </w:pPr>
            <w:r w:rsidRPr="00FC0759">
              <w:rPr>
                <w:sz w:val="24"/>
                <w:szCs w:val="24"/>
              </w:rPr>
              <w:t>报告期内，本基金存在单一投资者持有份额比例达到或超过</w:t>
            </w:r>
            <w:r w:rsidRPr="00FC0759">
              <w:rPr>
                <w:sz w:val="24"/>
                <w:szCs w:val="24"/>
              </w:rPr>
              <w:t>20%</w:t>
            </w:r>
            <w:r w:rsidRPr="00FC0759">
              <w:rPr>
                <w:sz w:val="24"/>
                <w:szCs w:val="24"/>
              </w:rPr>
              <w:t>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w:t>
            </w:r>
            <w:r w:rsidRPr="00FC0759">
              <w:rPr>
                <w:sz w:val="24"/>
                <w:szCs w:val="24"/>
              </w:rPr>
              <w:t>5000</w:t>
            </w:r>
            <w:r w:rsidRPr="00FC0759">
              <w:rPr>
                <w:sz w:val="24"/>
                <w:szCs w:val="24"/>
              </w:rPr>
              <w:t>万元，基金还可能面临转换运作方式、与其他基金合并或者终止基金合同等情形；持有基金份额占比较高的投资者在召开持有人大会并对审议事项进行投票表决时可能拥有较大话语权。</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9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9.1 </w:t>
      </w:r>
      <w:r w:rsidRPr="00264E55">
        <w:rPr>
          <w:rFonts w:ascii="宋体" w:hAnsi="宋体" w:hint="eastAsia"/>
          <w:b/>
          <w:bCs/>
          <w:color w:val="000000"/>
          <w:kern w:val="0"/>
          <w:sz w:val="24"/>
          <w:szCs w:val="24"/>
        </w:rPr>
        <w:t>备查文件目录</w:t>
      </w:r>
    </w:p>
    <w:p w:rsidR="004956E2" w:rsidRDefault="00E7380F">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中国证监会准予易方达国企改革混合型证券投资基金注册的文件；</w:t>
      </w:r>
    </w:p>
    <w:p w:rsidR="004956E2" w:rsidRDefault="00E7380F">
      <w:pPr>
        <w:spacing w:line="360" w:lineRule="auto"/>
        <w:ind w:firstLineChars="200" w:firstLine="480"/>
        <w:rPr>
          <w:color w:val="000000"/>
          <w:sz w:val="24"/>
          <w:szCs w:val="24"/>
        </w:rPr>
      </w:pPr>
      <w:r>
        <w:rPr>
          <w:color w:val="000000"/>
          <w:sz w:val="24"/>
          <w:szCs w:val="24"/>
        </w:rPr>
        <w:t>2.</w:t>
      </w:r>
      <w:r>
        <w:rPr>
          <w:color w:val="000000"/>
          <w:sz w:val="24"/>
          <w:szCs w:val="24"/>
        </w:rPr>
        <w:t>《易方达国企改革混合型证券投资基金基金合同》；</w:t>
      </w:r>
    </w:p>
    <w:p w:rsidR="004956E2" w:rsidRDefault="00E7380F">
      <w:pPr>
        <w:spacing w:line="360" w:lineRule="auto"/>
        <w:ind w:firstLineChars="200" w:firstLine="480"/>
        <w:rPr>
          <w:color w:val="000000"/>
          <w:sz w:val="24"/>
          <w:szCs w:val="24"/>
        </w:rPr>
      </w:pPr>
      <w:r>
        <w:rPr>
          <w:color w:val="000000"/>
          <w:sz w:val="24"/>
          <w:szCs w:val="24"/>
        </w:rPr>
        <w:t>3.</w:t>
      </w:r>
      <w:r>
        <w:rPr>
          <w:color w:val="000000"/>
          <w:sz w:val="24"/>
          <w:szCs w:val="24"/>
        </w:rPr>
        <w:t>《易方达国企改革混合型证券投资基金托管协议》；</w:t>
      </w:r>
    </w:p>
    <w:p w:rsidR="004956E2" w:rsidRDefault="00E7380F">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9.2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9.3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E7380F">
      <w:rPr>
        <w:rStyle w:val="a7"/>
        <w:noProof/>
      </w:rPr>
      <w:t>1</w:t>
    </w:r>
    <w:r>
      <w:rPr>
        <w:rStyle w:val="a7"/>
      </w:rPr>
      <w:fldChar w:fldCharType="end"/>
    </w:r>
    <w:r>
      <w:rPr>
        <w:rStyle w:val="a7"/>
        <w:rFonts w:hint="eastAsia"/>
      </w:rPr>
      <w:t>页共</w:t>
    </w:r>
    <w:r w:rsidR="00E7380F">
      <w:fldChar w:fldCharType="begin"/>
    </w:r>
    <w:r w:rsidR="00E7380F">
      <w:instrText xml:space="preserve"> NUMPAGES  \* Arabic  \* MERGEFORMAT </w:instrText>
    </w:r>
    <w:r w:rsidR="00E7380F">
      <w:fldChar w:fldCharType="separate"/>
    </w:r>
    <w:r w:rsidR="00E7380F" w:rsidRPr="00E7380F">
      <w:rPr>
        <w:rStyle w:val="a7"/>
        <w:noProof/>
      </w:rPr>
      <w:t>1</w:t>
    </w:r>
    <w:r w:rsidR="00E7380F">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E7380F">
      <w:rPr>
        <w:rStyle w:val="a7"/>
        <w:noProof/>
      </w:rPr>
      <w:t>2</w:t>
    </w:r>
    <w:r>
      <w:rPr>
        <w:rStyle w:val="a7"/>
      </w:rPr>
      <w:fldChar w:fldCharType="end"/>
    </w:r>
    <w:r>
      <w:rPr>
        <w:rStyle w:val="a7"/>
        <w:rFonts w:hint="eastAsia"/>
      </w:rPr>
      <w:t>页共</w:t>
    </w:r>
    <w:fldSimple w:instr=" NUMPAGES  \* Arabic  \* MERGEFORMAT ">
      <w:r w:rsidR="00E7380F" w:rsidRPr="00E7380F">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易方达国企改革混合型证券投资基金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956E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7380F"/>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7960B-2389-4407-AECC-5FCE50CE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5198</Characters>
  <Application>Microsoft Office Word</Application>
  <DocSecurity>4</DocSecurity>
  <Lines>43</Lines>
  <Paragraphs>12</Paragraphs>
  <ScaleCrop>false</ScaleCrop>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2020-01-13T02:44:00Z</dcterms:created>
  <dcterms:modified xsi:type="dcterms:W3CDTF">2020-01-13T02:44:00Z</dcterms:modified>
</cp:coreProperties>
</file>