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易方达信用债债券型证券投资基金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中国工商银行股份有限公司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9F2F73" w:rsidRDefault="009F2BB3">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F2F73" w:rsidRDefault="009F2BB3">
      <w:pPr>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F2F73" w:rsidRDefault="009F2BB3">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F2F73" w:rsidRDefault="009F2BB3">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9F2F73" w:rsidRDefault="009F2BB3">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易方达信用债债券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000032</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2013</w:t>
            </w:r>
            <w:r w:rsidRPr="00C30CFF">
              <w:rPr>
                <w:color w:val="000000"/>
                <w:kern w:val="0"/>
                <w:sz w:val="24"/>
              </w:rPr>
              <w:t>年</w:t>
            </w:r>
            <w:r w:rsidRPr="00C30CFF">
              <w:rPr>
                <w:color w:val="000000"/>
                <w:kern w:val="0"/>
                <w:sz w:val="24"/>
              </w:rPr>
              <w:t>4</w:t>
            </w:r>
            <w:r w:rsidRPr="00C30CFF">
              <w:rPr>
                <w:color w:val="000000"/>
                <w:kern w:val="0"/>
                <w:sz w:val="24"/>
              </w:rPr>
              <w:t>月</w:t>
            </w:r>
            <w:r w:rsidRPr="00C30CFF">
              <w:rPr>
                <w:color w:val="000000"/>
                <w:kern w:val="0"/>
                <w:sz w:val="24"/>
              </w:rPr>
              <w:t>24</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4,211,378,275.68</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本基金主要投资于信用债券，力争获得高于业绩比较基准的投资收益。</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w:t>
            </w:r>
            <w:r w:rsidRPr="00C30CFF">
              <w:rPr>
                <w:color w:val="000000"/>
                <w:kern w:val="0"/>
                <w:sz w:val="24"/>
              </w:rPr>
              <w:lastRenderedPageBreak/>
              <w:t>基准的投资回报。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w:t>
            </w:r>
            <w:r w:rsidRPr="00C30CFF">
              <w:rPr>
                <w:color w:val="000000"/>
                <w:kern w:val="0"/>
                <w:sz w:val="24"/>
              </w:rPr>
              <w:t>-</w:t>
            </w:r>
            <w:r w:rsidRPr="00C30CFF">
              <w:rPr>
                <w:color w:val="000000"/>
                <w:kern w:val="0"/>
                <w:sz w:val="24"/>
              </w:rPr>
              <w:t>信用债总指数</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本基金为债券型基金，其长期平均风险和预期收益率理论上低于股票型基金、混合型基金，高于货币市场基金。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中国工商银行股份有限公司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易方达信用债债券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易方达信用债债券</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000032</w:t>
            </w:r>
          </w:p>
        </w:tc>
        <w:tc>
          <w:tcPr>
            <w:tcW w:w="2790" w:type="dxa"/>
            <w:vAlign w:val="center"/>
          </w:tcPr>
          <w:p w:rsidR="00F016DD" w:rsidRPr="00C30CFF" w:rsidRDefault="00F016DD" w:rsidP="00950413">
            <w:pPr>
              <w:jc w:val="left"/>
              <w:rPr>
                <w:color w:val="000000"/>
                <w:sz w:val="24"/>
              </w:rPr>
            </w:pPr>
            <w:r w:rsidRPr="00C30CFF">
              <w:rPr>
                <w:color w:val="000000"/>
                <w:sz w:val="24"/>
              </w:rPr>
              <w:t>000033</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3,518,446,773.39</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692,931,502.29</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易方达信用债债券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易方达信用债债券</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28,551,470.46</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5,373,417.01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26,512,360.30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5,004,588.83</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0.0086</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0.0075</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3,904,309,158.00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764,563,155.54</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1.110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1.103</w:t>
            </w:r>
          </w:p>
        </w:tc>
      </w:tr>
    </w:tbl>
    <w:p w:rsidR="009F2F73" w:rsidRDefault="009F2BB3">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易方达信用债债券A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9F2F73">
        <w:tc>
          <w:tcPr>
            <w:tcW w:w="0" w:type="auto"/>
            <w:vAlign w:val="center"/>
          </w:tcPr>
          <w:p w:rsidR="009F2F73" w:rsidRDefault="009F2BB3">
            <w:pPr>
              <w:jc w:val="left"/>
            </w:pPr>
            <w:r>
              <w:rPr>
                <w:color w:val="000000"/>
                <w:sz w:val="24"/>
              </w:rPr>
              <w:t>过去三个月</w:t>
            </w:r>
          </w:p>
        </w:tc>
        <w:tc>
          <w:tcPr>
            <w:tcW w:w="0" w:type="auto"/>
            <w:vAlign w:val="center"/>
          </w:tcPr>
          <w:p w:rsidR="009F2F73" w:rsidRDefault="009F2BB3">
            <w:pPr>
              <w:jc w:val="center"/>
            </w:pPr>
            <w:r>
              <w:rPr>
                <w:color w:val="000000"/>
                <w:sz w:val="24"/>
              </w:rPr>
              <w:t>0.81%</w:t>
            </w:r>
          </w:p>
        </w:tc>
        <w:tc>
          <w:tcPr>
            <w:tcW w:w="0" w:type="auto"/>
            <w:vAlign w:val="center"/>
          </w:tcPr>
          <w:p w:rsidR="009F2F73" w:rsidRDefault="009F2BB3">
            <w:pPr>
              <w:jc w:val="center"/>
            </w:pPr>
            <w:r>
              <w:rPr>
                <w:color w:val="000000"/>
                <w:sz w:val="24"/>
              </w:rPr>
              <w:t>0.04%</w:t>
            </w:r>
          </w:p>
        </w:tc>
        <w:tc>
          <w:tcPr>
            <w:tcW w:w="0" w:type="auto"/>
            <w:vAlign w:val="center"/>
          </w:tcPr>
          <w:p w:rsidR="009F2F73" w:rsidRDefault="009F2BB3">
            <w:pPr>
              <w:jc w:val="center"/>
            </w:pPr>
            <w:r>
              <w:rPr>
                <w:color w:val="000000"/>
                <w:sz w:val="24"/>
              </w:rPr>
              <w:t>0.17%</w:t>
            </w:r>
          </w:p>
        </w:tc>
        <w:tc>
          <w:tcPr>
            <w:tcW w:w="0" w:type="auto"/>
            <w:vAlign w:val="center"/>
          </w:tcPr>
          <w:p w:rsidR="009F2F73" w:rsidRDefault="009F2BB3">
            <w:pPr>
              <w:jc w:val="center"/>
            </w:pPr>
            <w:r>
              <w:rPr>
                <w:color w:val="000000"/>
                <w:sz w:val="24"/>
              </w:rPr>
              <w:t>0.02%</w:t>
            </w:r>
          </w:p>
        </w:tc>
        <w:tc>
          <w:tcPr>
            <w:tcW w:w="0" w:type="auto"/>
            <w:vAlign w:val="center"/>
          </w:tcPr>
          <w:p w:rsidR="009F2F73" w:rsidRDefault="009F2BB3">
            <w:pPr>
              <w:jc w:val="center"/>
            </w:pPr>
            <w:r>
              <w:rPr>
                <w:color w:val="000000"/>
                <w:sz w:val="24"/>
              </w:rPr>
              <w:t>0.64%</w:t>
            </w:r>
          </w:p>
        </w:tc>
        <w:tc>
          <w:tcPr>
            <w:tcW w:w="0" w:type="auto"/>
            <w:vAlign w:val="center"/>
          </w:tcPr>
          <w:p w:rsidR="009F2F73" w:rsidRDefault="009F2BB3">
            <w:pPr>
              <w:jc w:val="center"/>
            </w:pPr>
            <w:r>
              <w:rPr>
                <w:color w:val="000000"/>
                <w:sz w:val="24"/>
              </w:rPr>
              <w:t>0.02%</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易方达信用债债券C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9F2F73">
        <w:tc>
          <w:tcPr>
            <w:tcW w:w="0" w:type="auto"/>
            <w:vAlign w:val="center"/>
          </w:tcPr>
          <w:p w:rsidR="009F2F73" w:rsidRDefault="009F2BB3">
            <w:pPr>
              <w:jc w:val="left"/>
            </w:pPr>
            <w:r>
              <w:rPr>
                <w:color w:val="000000"/>
                <w:sz w:val="24"/>
              </w:rPr>
              <w:t>过去三个月</w:t>
            </w:r>
          </w:p>
        </w:tc>
        <w:tc>
          <w:tcPr>
            <w:tcW w:w="0" w:type="auto"/>
            <w:vAlign w:val="center"/>
          </w:tcPr>
          <w:p w:rsidR="009F2F73" w:rsidRDefault="009F2BB3">
            <w:pPr>
              <w:jc w:val="center"/>
            </w:pPr>
            <w:r>
              <w:rPr>
                <w:color w:val="000000"/>
                <w:sz w:val="24"/>
              </w:rPr>
              <w:t>0.63%</w:t>
            </w:r>
          </w:p>
        </w:tc>
        <w:tc>
          <w:tcPr>
            <w:tcW w:w="0" w:type="auto"/>
            <w:vAlign w:val="center"/>
          </w:tcPr>
          <w:p w:rsidR="009F2F73" w:rsidRDefault="009F2BB3">
            <w:pPr>
              <w:jc w:val="center"/>
            </w:pPr>
            <w:r>
              <w:rPr>
                <w:color w:val="000000"/>
                <w:sz w:val="24"/>
              </w:rPr>
              <w:t>0.04%</w:t>
            </w:r>
          </w:p>
        </w:tc>
        <w:tc>
          <w:tcPr>
            <w:tcW w:w="0" w:type="auto"/>
            <w:vAlign w:val="center"/>
          </w:tcPr>
          <w:p w:rsidR="009F2F73" w:rsidRDefault="009F2BB3">
            <w:pPr>
              <w:jc w:val="center"/>
            </w:pPr>
            <w:r>
              <w:rPr>
                <w:color w:val="000000"/>
                <w:sz w:val="24"/>
              </w:rPr>
              <w:t>0.17%</w:t>
            </w:r>
          </w:p>
        </w:tc>
        <w:tc>
          <w:tcPr>
            <w:tcW w:w="0" w:type="auto"/>
            <w:vAlign w:val="center"/>
          </w:tcPr>
          <w:p w:rsidR="009F2F73" w:rsidRDefault="009F2BB3">
            <w:pPr>
              <w:jc w:val="center"/>
            </w:pPr>
            <w:r>
              <w:rPr>
                <w:color w:val="000000"/>
                <w:sz w:val="24"/>
              </w:rPr>
              <w:t>0.02%</w:t>
            </w:r>
          </w:p>
        </w:tc>
        <w:tc>
          <w:tcPr>
            <w:tcW w:w="0" w:type="auto"/>
            <w:vAlign w:val="center"/>
          </w:tcPr>
          <w:p w:rsidR="009F2F73" w:rsidRDefault="009F2BB3">
            <w:pPr>
              <w:jc w:val="center"/>
            </w:pPr>
            <w:r>
              <w:rPr>
                <w:color w:val="000000"/>
                <w:sz w:val="24"/>
              </w:rPr>
              <w:t>0.46%</w:t>
            </w:r>
          </w:p>
        </w:tc>
        <w:tc>
          <w:tcPr>
            <w:tcW w:w="0" w:type="auto"/>
            <w:vAlign w:val="center"/>
          </w:tcPr>
          <w:p w:rsidR="009F2F73" w:rsidRDefault="009F2BB3">
            <w:pPr>
              <w:jc w:val="center"/>
            </w:pPr>
            <w:r>
              <w:rPr>
                <w:color w:val="000000"/>
                <w:sz w:val="24"/>
              </w:rPr>
              <w:t>0.02%</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易方达信用债债券型证券投资基金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2013</w:t>
      </w:r>
      <w:r w:rsidRPr="00526282">
        <w:rPr>
          <w:rFonts w:ascii="Times New Roman" w:hAnsi="Times New Roman"/>
          <w:sz w:val="24"/>
          <w:szCs w:val="24"/>
        </w:rPr>
        <w:t>年</w:t>
      </w:r>
      <w:r w:rsidRPr="00526282">
        <w:rPr>
          <w:rFonts w:ascii="Times New Roman" w:hAnsi="Times New Roman"/>
          <w:sz w:val="24"/>
          <w:szCs w:val="24"/>
        </w:rPr>
        <w:t>4</w:t>
      </w:r>
      <w:r w:rsidRPr="00526282">
        <w:rPr>
          <w:rFonts w:ascii="Times New Roman" w:hAnsi="Times New Roman"/>
          <w:sz w:val="24"/>
          <w:szCs w:val="24"/>
        </w:rPr>
        <w:t>月</w:t>
      </w:r>
      <w:r w:rsidRPr="00526282">
        <w:rPr>
          <w:rFonts w:ascii="Times New Roman" w:hAnsi="Times New Roman"/>
          <w:sz w:val="24"/>
          <w:szCs w:val="24"/>
        </w:rPr>
        <w:t>24</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易方达信用债债券</w:t>
      </w:r>
      <w:r w:rsidRPr="00611CB2">
        <w:rPr>
          <w:color w:val="000000"/>
          <w:sz w:val="24"/>
        </w:rPr>
        <w:t>A</w:t>
      </w:r>
    </w:p>
    <w:p w:rsidR="00F016DD" w:rsidRPr="0078105B" w:rsidRDefault="009F2BB3"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易方达信用债债券</w:t>
      </w:r>
      <w:r w:rsidRPr="00611CB2">
        <w:rPr>
          <w:color w:val="000000"/>
          <w:sz w:val="24"/>
        </w:rPr>
        <w:t>C</w:t>
      </w:r>
    </w:p>
    <w:p w:rsidR="00F016DD" w:rsidRPr="0078105B" w:rsidRDefault="009F2BB3"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39.86%</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36.32%</w:t>
      </w:r>
      <w:r w:rsidRPr="00DF18FE">
        <w:rPr>
          <w:color w:val="000000"/>
          <w:sz w:val="24"/>
        </w:rPr>
        <w:t>，同期业绩比较基准收益率为</w:t>
      </w:r>
      <w:r w:rsidRPr="00DF18FE">
        <w:rPr>
          <w:color w:val="000000"/>
          <w:sz w:val="24"/>
        </w:rPr>
        <w:t>6.18%</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9F2F73">
        <w:tc>
          <w:tcPr>
            <w:tcW w:w="0" w:type="auto"/>
            <w:vAlign w:val="center"/>
          </w:tcPr>
          <w:p w:rsidR="009F2F73" w:rsidRDefault="009F2BB3">
            <w:pPr>
              <w:jc w:val="center"/>
            </w:pPr>
            <w:r>
              <w:rPr>
                <w:color w:val="000000"/>
                <w:sz w:val="24"/>
              </w:rPr>
              <w:t>胡剑</w:t>
            </w:r>
          </w:p>
        </w:tc>
        <w:tc>
          <w:tcPr>
            <w:tcW w:w="0" w:type="auto"/>
            <w:vAlign w:val="center"/>
          </w:tcPr>
          <w:p w:rsidR="009F2F73" w:rsidRDefault="009F2BB3">
            <w:pPr>
              <w:jc w:val="center"/>
            </w:pPr>
            <w:r>
              <w:rPr>
                <w:color w:val="000000"/>
                <w:sz w:val="24"/>
              </w:rPr>
              <w:t>本基金的基金经理、易方达裕惠回报定期开放式混合型发起式证券投资基金的基金经理、易方达稳健收益债券型证券投资基金的基金经理、易方达岁丰添利债券型证券投资基金的基金经理、易方达瑞祺灵活配置混合型证券投资基金的基金经理（自</w:t>
            </w:r>
            <w:r>
              <w:rPr>
                <w:color w:val="000000"/>
                <w:sz w:val="24"/>
              </w:rPr>
              <w:t>2018</w:t>
            </w:r>
            <w:r>
              <w:rPr>
                <w:color w:val="000000"/>
                <w:sz w:val="24"/>
              </w:rPr>
              <w:t>年</w:t>
            </w:r>
            <w:r>
              <w:rPr>
                <w:color w:val="000000"/>
                <w:sz w:val="24"/>
              </w:rPr>
              <w:t>01</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16</w:t>
            </w:r>
            <w:r>
              <w:rPr>
                <w:color w:val="000000"/>
                <w:sz w:val="24"/>
              </w:rPr>
              <w:t>日）、易方达瑞富灵活配置混合型证券投资基金的基金经理、易方达瑞财灵活配置混合型证券投资基金的基金经理（自</w:t>
            </w:r>
            <w:r>
              <w:rPr>
                <w:color w:val="000000"/>
                <w:sz w:val="24"/>
              </w:rPr>
              <w:t>2016</w:t>
            </w:r>
            <w:r>
              <w:rPr>
                <w:color w:val="000000"/>
                <w:sz w:val="24"/>
              </w:rPr>
              <w:t>年</w:t>
            </w:r>
            <w:r>
              <w:rPr>
                <w:color w:val="000000"/>
                <w:sz w:val="24"/>
              </w:rPr>
              <w:t>02</w:t>
            </w:r>
            <w:r>
              <w:rPr>
                <w:color w:val="000000"/>
                <w:sz w:val="24"/>
              </w:rPr>
              <w:t>月</w:t>
            </w:r>
            <w:r>
              <w:rPr>
                <w:color w:val="000000"/>
                <w:sz w:val="24"/>
              </w:rPr>
              <w:t>04</w:t>
            </w:r>
            <w:r>
              <w:rPr>
                <w:color w:val="000000"/>
                <w:sz w:val="24"/>
              </w:rPr>
              <w:t>日至</w:t>
            </w:r>
            <w:r>
              <w:rPr>
                <w:color w:val="000000"/>
                <w:sz w:val="24"/>
              </w:rPr>
              <w:t>2019</w:t>
            </w:r>
            <w:r>
              <w:rPr>
                <w:color w:val="000000"/>
                <w:sz w:val="24"/>
              </w:rPr>
              <w:t>年</w:t>
            </w:r>
            <w:r>
              <w:rPr>
                <w:color w:val="000000"/>
                <w:sz w:val="24"/>
              </w:rPr>
              <w:t>11</w:t>
            </w:r>
            <w:r>
              <w:rPr>
                <w:color w:val="000000"/>
                <w:sz w:val="24"/>
              </w:rPr>
              <w:t>月</w:t>
            </w:r>
            <w:r>
              <w:rPr>
                <w:color w:val="000000"/>
                <w:sz w:val="24"/>
              </w:rPr>
              <w:t>07</w:t>
            </w:r>
            <w:r>
              <w:rPr>
                <w:color w:val="000000"/>
                <w:sz w:val="24"/>
              </w:rPr>
              <w:t>日）、易方达恒益定期开放债券型发起式证券投资基金的基金经理、易方达恒盛</w:t>
            </w:r>
            <w:r>
              <w:rPr>
                <w:color w:val="000000"/>
                <w:sz w:val="24"/>
              </w:rPr>
              <w:t>3</w:t>
            </w:r>
            <w:r>
              <w:rPr>
                <w:color w:val="000000"/>
                <w:sz w:val="24"/>
              </w:rPr>
              <w:t>个月定期开放混合型发起式证券投资</w:t>
            </w:r>
            <w:r>
              <w:rPr>
                <w:color w:val="000000"/>
                <w:sz w:val="24"/>
              </w:rPr>
              <w:t>基金的基金经理、易方达恒利</w:t>
            </w:r>
            <w:r>
              <w:rPr>
                <w:color w:val="000000"/>
                <w:sz w:val="24"/>
              </w:rPr>
              <w:t>3</w:t>
            </w:r>
            <w:r>
              <w:rPr>
                <w:color w:val="000000"/>
                <w:sz w:val="24"/>
              </w:rPr>
              <w:t>个月定期开放债券型发起式证券投资基金的基金经理、易方达富惠纯债债券型证券投资基金的基金经理、易方达丰惠混合型证券投资基金的基金经理、易方达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）的基金经理、固定收益研究部总经理、固定收益投资部总经理</w:t>
            </w:r>
          </w:p>
        </w:tc>
        <w:tc>
          <w:tcPr>
            <w:tcW w:w="0" w:type="auto"/>
            <w:vAlign w:val="center"/>
          </w:tcPr>
          <w:p w:rsidR="009F2F73" w:rsidRDefault="009F2BB3">
            <w:pPr>
              <w:jc w:val="center"/>
            </w:pPr>
            <w:r>
              <w:rPr>
                <w:color w:val="000000"/>
                <w:sz w:val="24"/>
              </w:rPr>
              <w:t>2013-04-24</w:t>
            </w:r>
          </w:p>
        </w:tc>
        <w:tc>
          <w:tcPr>
            <w:tcW w:w="0" w:type="auto"/>
            <w:vAlign w:val="center"/>
          </w:tcPr>
          <w:p w:rsidR="009F2F73" w:rsidRDefault="009F2BB3">
            <w:pPr>
              <w:jc w:val="center"/>
            </w:pPr>
            <w:r>
              <w:rPr>
                <w:color w:val="000000"/>
                <w:sz w:val="24"/>
              </w:rPr>
              <w:t>-</w:t>
            </w:r>
          </w:p>
        </w:tc>
        <w:tc>
          <w:tcPr>
            <w:tcW w:w="0" w:type="auto"/>
            <w:vAlign w:val="center"/>
          </w:tcPr>
          <w:p w:rsidR="009F2F73" w:rsidRDefault="009F2BB3">
            <w:pPr>
              <w:jc w:val="center"/>
            </w:pPr>
            <w:r>
              <w:rPr>
                <w:color w:val="000000"/>
                <w:sz w:val="24"/>
              </w:rPr>
              <w:t>13</w:t>
            </w:r>
            <w:r>
              <w:rPr>
                <w:color w:val="000000"/>
                <w:sz w:val="24"/>
              </w:rPr>
              <w:t>年</w:t>
            </w:r>
          </w:p>
        </w:tc>
        <w:tc>
          <w:tcPr>
            <w:tcW w:w="0" w:type="auto"/>
            <w:vAlign w:val="center"/>
          </w:tcPr>
          <w:p w:rsidR="009F2F73" w:rsidRDefault="009F2BB3">
            <w:r>
              <w:rPr>
                <w:color w:val="000000"/>
                <w:sz w:val="24"/>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color w:val="000000"/>
                <w:sz w:val="24"/>
              </w:rPr>
              <w:t>LOF</w:t>
            </w:r>
            <w:r>
              <w:rPr>
                <w:color w:val="000000"/>
                <w:sz w:val="24"/>
              </w:rPr>
              <w:t>）基金经理、易方达纯债债券型证券投资基金基金经理、易方达永旭添利定期开放债券型证券投资基金基金经理、易方达纯债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w:t>
            </w:r>
          </w:p>
        </w:tc>
      </w:tr>
      <w:tr w:rsidR="009F2F73">
        <w:tc>
          <w:tcPr>
            <w:tcW w:w="0" w:type="auto"/>
            <w:vAlign w:val="center"/>
          </w:tcPr>
          <w:p w:rsidR="009F2F73" w:rsidRDefault="009F2BB3">
            <w:pPr>
              <w:jc w:val="center"/>
            </w:pPr>
            <w:r>
              <w:rPr>
                <w:color w:val="000000"/>
                <w:sz w:val="24"/>
              </w:rPr>
              <w:t>纪玲云</w:t>
            </w:r>
          </w:p>
        </w:tc>
        <w:tc>
          <w:tcPr>
            <w:tcW w:w="0" w:type="auto"/>
            <w:vAlign w:val="center"/>
          </w:tcPr>
          <w:p w:rsidR="009F2F73" w:rsidRDefault="009F2BB3">
            <w:pPr>
              <w:jc w:val="center"/>
            </w:pPr>
            <w:r>
              <w:rPr>
                <w:color w:val="000000"/>
                <w:sz w:val="24"/>
              </w:rPr>
              <w:t>本基金的基金经理、易方达瑞财灵活配置混合型证券投资基金的基金经理、易方达恒盛</w:t>
            </w:r>
            <w:r>
              <w:rPr>
                <w:color w:val="000000"/>
                <w:sz w:val="24"/>
              </w:rPr>
              <w:t>3</w:t>
            </w:r>
            <w:r>
              <w:rPr>
                <w:color w:val="000000"/>
                <w:sz w:val="24"/>
              </w:rPr>
              <w:t>个月定期开放混合型发起式证券投资基金的基金经理、易方达恒利</w:t>
            </w:r>
            <w:r>
              <w:rPr>
                <w:color w:val="000000"/>
                <w:sz w:val="24"/>
              </w:rPr>
              <w:t>3</w:t>
            </w:r>
            <w:r>
              <w:rPr>
                <w:color w:val="000000"/>
                <w:sz w:val="24"/>
              </w:rPr>
              <w:t>个月定期开放债券型发起式证券投资基金的基金经理、易方达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）的基金经理、易方达丰惠混合型证券投资基金的基金经理助理、易方达稳健收益债券型证券投资基金的基金经理助理、固定收益研究部总经理助理、投资经理</w:t>
            </w:r>
          </w:p>
        </w:tc>
        <w:tc>
          <w:tcPr>
            <w:tcW w:w="0" w:type="auto"/>
            <w:vAlign w:val="center"/>
          </w:tcPr>
          <w:p w:rsidR="009F2F73" w:rsidRDefault="009F2BB3">
            <w:pPr>
              <w:jc w:val="center"/>
            </w:pPr>
            <w:r>
              <w:rPr>
                <w:color w:val="000000"/>
                <w:sz w:val="24"/>
              </w:rPr>
              <w:t>2013-09-14</w:t>
            </w:r>
          </w:p>
        </w:tc>
        <w:tc>
          <w:tcPr>
            <w:tcW w:w="0" w:type="auto"/>
            <w:vAlign w:val="center"/>
          </w:tcPr>
          <w:p w:rsidR="009F2F73" w:rsidRDefault="009F2BB3">
            <w:pPr>
              <w:jc w:val="center"/>
            </w:pPr>
            <w:r>
              <w:rPr>
                <w:color w:val="000000"/>
                <w:sz w:val="24"/>
              </w:rPr>
              <w:t>-</w:t>
            </w:r>
          </w:p>
        </w:tc>
        <w:tc>
          <w:tcPr>
            <w:tcW w:w="0" w:type="auto"/>
            <w:vAlign w:val="center"/>
          </w:tcPr>
          <w:p w:rsidR="009F2F73" w:rsidRDefault="009F2BB3">
            <w:pPr>
              <w:jc w:val="center"/>
            </w:pPr>
            <w:r>
              <w:rPr>
                <w:color w:val="000000"/>
                <w:sz w:val="24"/>
              </w:rPr>
              <w:t>10</w:t>
            </w:r>
            <w:r>
              <w:rPr>
                <w:color w:val="000000"/>
                <w:sz w:val="24"/>
              </w:rPr>
              <w:t>年</w:t>
            </w:r>
          </w:p>
        </w:tc>
        <w:tc>
          <w:tcPr>
            <w:tcW w:w="0" w:type="auto"/>
            <w:vAlign w:val="center"/>
          </w:tcPr>
          <w:p w:rsidR="009F2F73" w:rsidRDefault="009F2BB3">
            <w:r>
              <w:rPr>
                <w:color w:val="000000"/>
                <w:sz w:val="24"/>
              </w:rPr>
              <w:t>硕士研究生，具有基金从业资格。曾任易方达基金管理有限公司固定收益研究员、投资经理助理兼固定</w:t>
            </w:r>
            <w:r>
              <w:rPr>
                <w:color w:val="000000"/>
                <w:sz w:val="24"/>
              </w:rPr>
              <w:t>收益研究员。</w:t>
            </w:r>
          </w:p>
        </w:tc>
      </w:tr>
    </w:tbl>
    <w:p w:rsidR="009F2F73" w:rsidRDefault="009F2BB3">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9F2F73" w:rsidRDefault="009F2BB3">
      <w:pPr>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9F2F73" w:rsidRDefault="009F2BB3">
      <w:pPr>
        <w:spacing w:line="360" w:lineRule="auto"/>
        <w:ind w:firstLineChars="200" w:firstLine="480"/>
        <w:rPr>
          <w:color w:val="000000"/>
          <w:sz w:val="24"/>
        </w:rPr>
      </w:pPr>
      <w:r>
        <w:rPr>
          <w:color w:val="000000"/>
          <w:sz w:val="24"/>
        </w:rPr>
        <w:t>2019</w:t>
      </w:r>
      <w:r>
        <w:rPr>
          <w:color w:val="000000"/>
          <w:sz w:val="24"/>
        </w:rPr>
        <w:t>年四季度经济数据呈现明显的季节性特征，月度之间波动较大，整体依然偏弱。从结构上看，基建投资持续低位回升；制造业投资在</w:t>
      </w:r>
      <w:r>
        <w:rPr>
          <w:color w:val="000000"/>
          <w:sz w:val="24"/>
        </w:rPr>
        <w:t>9</w:t>
      </w:r>
      <w:r>
        <w:rPr>
          <w:color w:val="000000"/>
          <w:sz w:val="24"/>
        </w:rPr>
        <w:t>月出现明显回升后，</w:t>
      </w:r>
      <w:r>
        <w:rPr>
          <w:color w:val="000000"/>
          <w:sz w:val="24"/>
        </w:rPr>
        <w:t>10-11</w:t>
      </w:r>
      <w:r>
        <w:rPr>
          <w:color w:val="000000"/>
          <w:sz w:val="24"/>
        </w:rPr>
        <w:t>月份基本走平；房地产终端销售出现回落的迹象，不过幅度仍然不大，地产投资依然在高位。消费方面，汽车生产有小幅回升，但终端需求依然不强。社融数据在</w:t>
      </w:r>
      <w:r>
        <w:rPr>
          <w:color w:val="000000"/>
          <w:sz w:val="24"/>
        </w:rPr>
        <w:t>10</w:t>
      </w:r>
      <w:r>
        <w:rPr>
          <w:color w:val="000000"/>
          <w:sz w:val="24"/>
        </w:rPr>
        <w:t>月出现大幅下跌，但</w:t>
      </w:r>
      <w:r>
        <w:rPr>
          <w:color w:val="000000"/>
          <w:sz w:val="24"/>
        </w:rPr>
        <w:t>11</w:t>
      </w:r>
      <w:r>
        <w:rPr>
          <w:color w:val="000000"/>
          <w:sz w:val="24"/>
        </w:rPr>
        <w:t>月份有所恢复，后续变化值得关注。从通胀数据来看，</w:t>
      </w:r>
      <w:r>
        <w:rPr>
          <w:color w:val="000000"/>
          <w:sz w:val="24"/>
        </w:rPr>
        <w:t>CPI</w:t>
      </w:r>
      <w:r>
        <w:rPr>
          <w:color w:val="000000"/>
          <w:sz w:val="24"/>
        </w:rPr>
        <w:t>逐月走高，但市场担忧情绪随着央行货币政策转松而消除，食品价格目前对市场的影响有限。</w:t>
      </w:r>
    </w:p>
    <w:p w:rsidR="009F2F73" w:rsidRDefault="009F2BB3">
      <w:pPr>
        <w:spacing w:line="360" w:lineRule="auto"/>
        <w:ind w:firstLineChars="200" w:firstLine="480"/>
        <w:rPr>
          <w:color w:val="000000"/>
          <w:sz w:val="24"/>
        </w:rPr>
      </w:pPr>
      <w:r>
        <w:rPr>
          <w:color w:val="000000"/>
          <w:sz w:val="24"/>
        </w:rPr>
        <w:t>政策层面，四季度以来稳增长意图明显，</w:t>
      </w:r>
      <w:r>
        <w:rPr>
          <w:color w:val="000000"/>
          <w:sz w:val="24"/>
        </w:rPr>
        <w:t>2020</w:t>
      </w:r>
      <w:r>
        <w:rPr>
          <w:color w:val="000000"/>
          <w:sz w:val="24"/>
        </w:rPr>
        <w:t>年一季度</w:t>
      </w:r>
      <w:r>
        <w:rPr>
          <w:color w:val="000000"/>
          <w:sz w:val="24"/>
        </w:rPr>
        <w:t>的大量专项债发行以及随之而起的基建投资项目将较大概率推升短期基本面走势。另一方面货币政策对降低社会平均融资成本的诉求明显增强，货币政策稳健偏宽松，这使得债券市场短端投资机会确定性更高，而长端受制于基本面好转预期持续有压力，曲线有望陡峭化，整体利率中枢水平趋于振荡。</w:t>
      </w:r>
    </w:p>
    <w:p w:rsidR="009F2F73" w:rsidRDefault="009F2BB3">
      <w:pPr>
        <w:spacing w:line="360" w:lineRule="auto"/>
        <w:ind w:firstLineChars="200" w:firstLine="480"/>
        <w:rPr>
          <w:color w:val="000000"/>
          <w:sz w:val="24"/>
        </w:rPr>
      </w:pPr>
      <w:r>
        <w:rPr>
          <w:color w:val="000000"/>
          <w:sz w:val="24"/>
        </w:rPr>
        <w:t>债券市场方面，受通胀和央行货币政策收紧担忧影响，收益率有所上升，</w:t>
      </w:r>
      <w:r>
        <w:rPr>
          <w:color w:val="000000"/>
          <w:sz w:val="24"/>
        </w:rPr>
        <w:t>10</w:t>
      </w:r>
      <w:r>
        <w:rPr>
          <w:color w:val="000000"/>
          <w:sz w:val="24"/>
        </w:rPr>
        <w:t>年金融债从</w:t>
      </w:r>
      <w:r>
        <w:rPr>
          <w:color w:val="000000"/>
          <w:sz w:val="24"/>
        </w:rPr>
        <w:t>3.4%</w:t>
      </w:r>
      <w:r>
        <w:rPr>
          <w:color w:val="000000"/>
          <w:sz w:val="24"/>
        </w:rPr>
        <w:t>附近上升至</w:t>
      </w:r>
      <w:r>
        <w:rPr>
          <w:color w:val="000000"/>
          <w:sz w:val="24"/>
        </w:rPr>
        <w:t>3.75%</w:t>
      </w:r>
      <w:r>
        <w:rPr>
          <w:color w:val="000000"/>
          <w:sz w:val="24"/>
        </w:rPr>
        <w:t>附近，之后伴随</w:t>
      </w:r>
      <w:r>
        <w:rPr>
          <w:color w:val="000000"/>
          <w:sz w:val="24"/>
        </w:rPr>
        <w:t>11</w:t>
      </w:r>
      <w:r>
        <w:rPr>
          <w:color w:val="000000"/>
          <w:sz w:val="24"/>
        </w:rPr>
        <w:t>月初央行下调</w:t>
      </w:r>
      <w:r>
        <w:rPr>
          <w:color w:val="000000"/>
          <w:sz w:val="24"/>
        </w:rPr>
        <w:t>MLF</w:t>
      </w:r>
      <w:r>
        <w:rPr>
          <w:color w:val="000000"/>
          <w:sz w:val="24"/>
        </w:rPr>
        <w:t>和</w:t>
      </w:r>
      <w:r>
        <w:rPr>
          <w:color w:val="000000"/>
          <w:sz w:val="24"/>
        </w:rPr>
        <w:t>OMO</w:t>
      </w:r>
      <w:r>
        <w:rPr>
          <w:color w:val="000000"/>
          <w:sz w:val="24"/>
        </w:rPr>
        <w:t>利率重新下行，回落至</w:t>
      </w:r>
      <w:r>
        <w:rPr>
          <w:color w:val="000000"/>
          <w:sz w:val="24"/>
        </w:rPr>
        <w:t>3.6%</w:t>
      </w:r>
      <w:r>
        <w:rPr>
          <w:color w:val="000000"/>
          <w:sz w:val="24"/>
        </w:rPr>
        <w:t>附近。</w:t>
      </w:r>
    </w:p>
    <w:p w:rsidR="00F016DD" w:rsidRPr="00DF18FE" w:rsidRDefault="00F016DD" w:rsidP="00DF18FE">
      <w:pPr>
        <w:spacing w:line="360" w:lineRule="auto"/>
        <w:ind w:firstLineChars="200" w:firstLine="480"/>
        <w:rPr>
          <w:color w:val="000000"/>
          <w:sz w:val="24"/>
        </w:rPr>
      </w:pPr>
      <w:r w:rsidRPr="00DF18FE">
        <w:rPr>
          <w:color w:val="000000"/>
          <w:sz w:val="24"/>
        </w:rPr>
        <w:t>操作上，组合维持偏谨慎的观点，有效久期继续有所缩窄，</w:t>
      </w:r>
      <w:r w:rsidRPr="00DF18FE">
        <w:rPr>
          <w:color w:val="000000"/>
          <w:sz w:val="24"/>
        </w:rPr>
        <w:t>12</w:t>
      </w:r>
      <w:r w:rsidRPr="00DF18FE">
        <w:rPr>
          <w:color w:val="000000"/>
          <w:sz w:val="24"/>
        </w:rPr>
        <w:t>月份确定央行的宽松态度之后适度提升了杠杆水平，获取杠杆套息收益。</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1.110</w:t>
      </w:r>
      <w:r w:rsidRPr="00DF18FE">
        <w:rPr>
          <w:color w:val="000000"/>
          <w:sz w:val="24"/>
        </w:rPr>
        <w:t>元，本报告期份额净值增长率为</w:t>
      </w:r>
      <w:r w:rsidRPr="00DF18FE">
        <w:rPr>
          <w:color w:val="000000"/>
          <w:sz w:val="24"/>
        </w:rPr>
        <w:t>0.81%</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1.103</w:t>
      </w:r>
      <w:r w:rsidRPr="00DF18FE">
        <w:rPr>
          <w:color w:val="000000"/>
          <w:sz w:val="24"/>
        </w:rPr>
        <w:t>元，本报告期份额净值增长率为</w:t>
      </w:r>
      <w:r w:rsidRPr="00DF18FE">
        <w:rPr>
          <w:color w:val="000000"/>
          <w:sz w:val="24"/>
        </w:rPr>
        <w:t>0.63%</w:t>
      </w:r>
      <w:r w:rsidRPr="00DF18FE">
        <w:rPr>
          <w:color w:val="000000"/>
          <w:sz w:val="24"/>
        </w:rPr>
        <w:t>；同期业绩比较基准收益率为</w:t>
      </w:r>
      <w:r w:rsidRPr="00DF18FE">
        <w:rPr>
          <w:color w:val="000000"/>
          <w:sz w:val="24"/>
        </w:rPr>
        <w:t>0.17%</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5,677,110,163.50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97.46</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5,657,109,163.50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97.12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20,001,000.00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0.34</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28,948,271.67</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0.50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118,943,292.08</w:t>
            </w:r>
          </w:p>
        </w:tc>
        <w:tc>
          <w:tcPr>
            <w:tcW w:w="1843" w:type="dxa"/>
            <w:vAlign w:val="center"/>
          </w:tcPr>
          <w:p w:rsidR="00F016DD" w:rsidRPr="00FA472B" w:rsidRDefault="00F016DD" w:rsidP="00F4518C">
            <w:pPr>
              <w:jc w:val="right"/>
              <w:rPr>
                <w:color w:val="000000"/>
                <w:sz w:val="24"/>
              </w:rPr>
            </w:pPr>
            <w:r w:rsidRPr="00FA472B">
              <w:rPr>
                <w:color w:val="000000"/>
                <w:sz w:val="24"/>
              </w:rPr>
              <w:t>2.04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5,825,001,727.25</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p w:rsidR="00874AA3" w:rsidRPr="00EA6415" w:rsidRDefault="00874AA3" w:rsidP="00EA6415">
      <w:pPr>
        <w:spacing w:line="360" w:lineRule="auto"/>
        <w:ind w:firstLineChars="200" w:firstLine="480"/>
        <w:rPr>
          <w:color w:val="000000"/>
          <w:sz w:val="24"/>
        </w:rPr>
      </w:pPr>
      <w:r w:rsidRPr="00EA6415">
        <w:rPr>
          <w:color w:val="000000"/>
          <w:sz w:val="24"/>
        </w:rPr>
        <w:t>本基金本报告期末未持有境内股票。</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240,682,000.00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240,682,000.00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1,787,607,163.50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38.29</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180,480,000.00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3.87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3,448,340,000.00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73.86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5,657,109,163.50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121.17</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9F2F73">
        <w:tc>
          <w:tcPr>
            <w:tcW w:w="0" w:type="auto"/>
            <w:vAlign w:val="center"/>
          </w:tcPr>
          <w:p w:rsidR="009F2F73" w:rsidRDefault="009F2BB3">
            <w:pPr>
              <w:jc w:val="center"/>
            </w:pPr>
            <w:r>
              <w:rPr>
                <w:color w:val="000000"/>
                <w:sz w:val="24"/>
              </w:rPr>
              <w:t>1</w:t>
            </w:r>
          </w:p>
        </w:tc>
        <w:tc>
          <w:tcPr>
            <w:tcW w:w="0" w:type="auto"/>
            <w:vAlign w:val="center"/>
          </w:tcPr>
          <w:p w:rsidR="009F2F73" w:rsidRDefault="009F2BB3">
            <w:pPr>
              <w:jc w:val="center"/>
            </w:pPr>
            <w:r>
              <w:rPr>
                <w:color w:val="000000"/>
                <w:sz w:val="24"/>
              </w:rPr>
              <w:t>101651031</w:t>
            </w:r>
          </w:p>
        </w:tc>
        <w:tc>
          <w:tcPr>
            <w:tcW w:w="0" w:type="auto"/>
            <w:vAlign w:val="center"/>
          </w:tcPr>
          <w:p w:rsidR="009F2F73" w:rsidRDefault="009F2BB3">
            <w:pPr>
              <w:jc w:val="center"/>
            </w:pPr>
            <w:r>
              <w:rPr>
                <w:color w:val="000000"/>
                <w:sz w:val="24"/>
              </w:rPr>
              <w:t>16</w:t>
            </w:r>
            <w:r>
              <w:rPr>
                <w:color w:val="000000"/>
                <w:sz w:val="24"/>
              </w:rPr>
              <w:t>贵州高速</w:t>
            </w:r>
            <w:r>
              <w:rPr>
                <w:color w:val="000000"/>
                <w:sz w:val="24"/>
              </w:rPr>
              <w:t>MTN001</w:t>
            </w:r>
          </w:p>
        </w:tc>
        <w:tc>
          <w:tcPr>
            <w:tcW w:w="0" w:type="auto"/>
            <w:vAlign w:val="center"/>
          </w:tcPr>
          <w:p w:rsidR="009F2F73" w:rsidRDefault="009F2BB3">
            <w:pPr>
              <w:jc w:val="right"/>
            </w:pPr>
            <w:r>
              <w:rPr>
                <w:color w:val="000000"/>
                <w:sz w:val="24"/>
              </w:rPr>
              <w:t>2,300,000</w:t>
            </w:r>
          </w:p>
        </w:tc>
        <w:tc>
          <w:tcPr>
            <w:tcW w:w="0" w:type="auto"/>
            <w:vAlign w:val="center"/>
          </w:tcPr>
          <w:p w:rsidR="009F2F73" w:rsidRDefault="009F2BB3">
            <w:pPr>
              <w:jc w:val="right"/>
            </w:pPr>
            <w:r>
              <w:rPr>
                <w:color w:val="000000"/>
                <w:sz w:val="24"/>
              </w:rPr>
              <w:t>234,853,000.00</w:t>
            </w:r>
          </w:p>
        </w:tc>
        <w:tc>
          <w:tcPr>
            <w:tcW w:w="0" w:type="auto"/>
            <w:vAlign w:val="center"/>
          </w:tcPr>
          <w:p w:rsidR="009F2F73" w:rsidRDefault="009F2BB3">
            <w:pPr>
              <w:jc w:val="right"/>
            </w:pPr>
            <w:r>
              <w:rPr>
                <w:color w:val="000000"/>
                <w:sz w:val="24"/>
              </w:rPr>
              <w:t>5.03</w:t>
            </w:r>
          </w:p>
        </w:tc>
      </w:tr>
      <w:tr w:rsidR="009F2F73">
        <w:tc>
          <w:tcPr>
            <w:tcW w:w="0" w:type="auto"/>
            <w:vAlign w:val="center"/>
          </w:tcPr>
          <w:p w:rsidR="009F2F73" w:rsidRDefault="009F2BB3">
            <w:pPr>
              <w:jc w:val="center"/>
            </w:pPr>
            <w:r>
              <w:rPr>
                <w:color w:val="000000"/>
                <w:sz w:val="24"/>
              </w:rPr>
              <w:t>2</w:t>
            </w:r>
          </w:p>
        </w:tc>
        <w:tc>
          <w:tcPr>
            <w:tcW w:w="0" w:type="auto"/>
            <w:vAlign w:val="center"/>
          </w:tcPr>
          <w:p w:rsidR="009F2F73" w:rsidRDefault="009F2BB3">
            <w:pPr>
              <w:jc w:val="center"/>
            </w:pPr>
            <w:r>
              <w:rPr>
                <w:color w:val="000000"/>
                <w:sz w:val="24"/>
              </w:rPr>
              <w:t>190304</w:t>
            </w:r>
          </w:p>
        </w:tc>
        <w:tc>
          <w:tcPr>
            <w:tcW w:w="0" w:type="auto"/>
            <w:vAlign w:val="center"/>
          </w:tcPr>
          <w:p w:rsidR="009F2F73" w:rsidRDefault="009F2BB3">
            <w:pPr>
              <w:jc w:val="center"/>
            </w:pPr>
            <w:r>
              <w:rPr>
                <w:color w:val="000000"/>
                <w:sz w:val="24"/>
              </w:rPr>
              <w:t>19</w:t>
            </w:r>
            <w:r>
              <w:rPr>
                <w:color w:val="000000"/>
                <w:sz w:val="24"/>
              </w:rPr>
              <w:t>进出</w:t>
            </w:r>
            <w:r>
              <w:rPr>
                <w:color w:val="000000"/>
                <w:sz w:val="24"/>
              </w:rPr>
              <w:t>04</w:t>
            </w:r>
          </w:p>
        </w:tc>
        <w:tc>
          <w:tcPr>
            <w:tcW w:w="0" w:type="auto"/>
            <w:vAlign w:val="center"/>
          </w:tcPr>
          <w:p w:rsidR="009F2F73" w:rsidRDefault="009F2BB3">
            <w:pPr>
              <w:jc w:val="right"/>
            </w:pPr>
            <w:r>
              <w:rPr>
                <w:color w:val="000000"/>
                <w:sz w:val="24"/>
              </w:rPr>
              <w:t>1,300,000</w:t>
            </w:r>
          </w:p>
        </w:tc>
        <w:tc>
          <w:tcPr>
            <w:tcW w:w="0" w:type="auto"/>
            <w:vAlign w:val="center"/>
          </w:tcPr>
          <w:p w:rsidR="009F2F73" w:rsidRDefault="009F2BB3">
            <w:pPr>
              <w:jc w:val="right"/>
            </w:pPr>
            <w:r>
              <w:rPr>
                <w:color w:val="000000"/>
                <w:sz w:val="24"/>
              </w:rPr>
              <w:t>130,221,000.00</w:t>
            </w:r>
          </w:p>
        </w:tc>
        <w:tc>
          <w:tcPr>
            <w:tcW w:w="0" w:type="auto"/>
            <w:vAlign w:val="center"/>
          </w:tcPr>
          <w:p w:rsidR="009F2F73" w:rsidRDefault="009F2BB3">
            <w:pPr>
              <w:jc w:val="right"/>
            </w:pPr>
            <w:r>
              <w:rPr>
                <w:color w:val="000000"/>
                <w:sz w:val="24"/>
              </w:rPr>
              <w:t>2.79</w:t>
            </w:r>
          </w:p>
        </w:tc>
      </w:tr>
      <w:tr w:rsidR="009F2F73">
        <w:tc>
          <w:tcPr>
            <w:tcW w:w="0" w:type="auto"/>
            <w:vAlign w:val="center"/>
          </w:tcPr>
          <w:p w:rsidR="009F2F73" w:rsidRDefault="009F2BB3">
            <w:pPr>
              <w:jc w:val="center"/>
            </w:pPr>
            <w:r>
              <w:rPr>
                <w:color w:val="000000"/>
                <w:sz w:val="24"/>
              </w:rPr>
              <w:t>3</w:t>
            </w:r>
          </w:p>
        </w:tc>
        <w:tc>
          <w:tcPr>
            <w:tcW w:w="0" w:type="auto"/>
            <w:vAlign w:val="center"/>
          </w:tcPr>
          <w:p w:rsidR="009F2F73" w:rsidRDefault="009F2BB3">
            <w:pPr>
              <w:jc w:val="center"/>
            </w:pPr>
            <w:r>
              <w:rPr>
                <w:color w:val="000000"/>
                <w:sz w:val="24"/>
              </w:rPr>
              <w:t>101800171</w:t>
            </w:r>
          </w:p>
        </w:tc>
        <w:tc>
          <w:tcPr>
            <w:tcW w:w="0" w:type="auto"/>
            <w:vAlign w:val="center"/>
          </w:tcPr>
          <w:p w:rsidR="009F2F73" w:rsidRDefault="009F2BB3">
            <w:pPr>
              <w:jc w:val="center"/>
            </w:pPr>
            <w:r>
              <w:rPr>
                <w:color w:val="000000"/>
                <w:sz w:val="24"/>
              </w:rPr>
              <w:t>18</w:t>
            </w:r>
            <w:r>
              <w:rPr>
                <w:color w:val="000000"/>
                <w:sz w:val="24"/>
              </w:rPr>
              <w:t>华润置地</w:t>
            </w:r>
            <w:r>
              <w:rPr>
                <w:color w:val="000000"/>
                <w:sz w:val="24"/>
              </w:rPr>
              <w:t>MTN001</w:t>
            </w:r>
          </w:p>
        </w:tc>
        <w:tc>
          <w:tcPr>
            <w:tcW w:w="0" w:type="auto"/>
            <w:vAlign w:val="center"/>
          </w:tcPr>
          <w:p w:rsidR="009F2F73" w:rsidRDefault="009F2BB3">
            <w:pPr>
              <w:jc w:val="right"/>
            </w:pPr>
            <w:r>
              <w:rPr>
                <w:color w:val="000000"/>
                <w:sz w:val="24"/>
              </w:rPr>
              <w:t>1,000,000</w:t>
            </w:r>
          </w:p>
        </w:tc>
        <w:tc>
          <w:tcPr>
            <w:tcW w:w="0" w:type="auto"/>
            <w:vAlign w:val="center"/>
          </w:tcPr>
          <w:p w:rsidR="009F2F73" w:rsidRDefault="009F2BB3">
            <w:pPr>
              <w:jc w:val="right"/>
            </w:pPr>
            <w:r>
              <w:rPr>
                <w:color w:val="000000"/>
                <w:sz w:val="24"/>
              </w:rPr>
              <w:t>103,180,000.00</w:t>
            </w:r>
          </w:p>
        </w:tc>
        <w:tc>
          <w:tcPr>
            <w:tcW w:w="0" w:type="auto"/>
            <w:vAlign w:val="center"/>
          </w:tcPr>
          <w:p w:rsidR="009F2F73" w:rsidRDefault="009F2BB3">
            <w:pPr>
              <w:jc w:val="right"/>
            </w:pPr>
            <w:r>
              <w:rPr>
                <w:color w:val="000000"/>
                <w:sz w:val="24"/>
              </w:rPr>
              <w:t>2.21</w:t>
            </w:r>
          </w:p>
        </w:tc>
      </w:tr>
      <w:tr w:rsidR="009F2F73">
        <w:tc>
          <w:tcPr>
            <w:tcW w:w="0" w:type="auto"/>
            <w:vAlign w:val="center"/>
          </w:tcPr>
          <w:p w:rsidR="009F2F73" w:rsidRDefault="009F2BB3">
            <w:pPr>
              <w:jc w:val="center"/>
            </w:pPr>
            <w:r>
              <w:rPr>
                <w:color w:val="000000"/>
                <w:sz w:val="24"/>
              </w:rPr>
              <w:t>4</w:t>
            </w:r>
          </w:p>
        </w:tc>
        <w:tc>
          <w:tcPr>
            <w:tcW w:w="0" w:type="auto"/>
            <w:vAlign w:val="center"/>
          </w:tcPr>
          <w:p w:rsidR="009F2F73" w:rsidRDefault="009F2BB3">
            <w:pPr>
              <w:jc w:val="center"/>
            </w:pPr>
            <w:r>
              <w:rPr>
                <w:color w:val="000000"/>
                <w:sz w:val="24"/>
              </w:rPr>
              <w:t>101800642</w:t>
            </w:r>
          </w:p>
        </w:tc>
        <w:tc>
          <w:tcPr>
            <w:tcW w:w="0" w:type="auto"/>
            <w:vAlign w:val="center"/>
          </w:tcPr>
          <w:p w:rsidR="009F2F73" w:rsidRDefault="009F2BB3">
            <w:pPr>
              <w:jc w:val="center"/>
            </w:pPr>
            <w:r>
              <w:rPr>
                <w:color w:val="000000"/>
                <w:sz w:val="24"/>
              </w:rPr>
              <w:t>18</w:t>
            </w:r>
            <w:r>
              <w:rPr>
                <w:color w:val="000000"/>
                <w:sz w:val="24"/>
              </w:rPr>
              <w:t>中铝集</w:t>
            </w:r>
            <w:r>
              <w:rPr>
                <w:color w:val="000000"/>
                <w:sz w:val="24"/>
              </w:rPr>
              <w:t>MTN001</w:t>
            </w:r>
          </w:p>
        </w:tc>
        <w:tc>
          <w:tcPr>
            <w:tcW w:w="0" w:type="auto"/>
            <w:vAlign w:val="center"/>
          </w:tcPr>
          <w:p w:rsidR="009F2F73" w:rsidRDefault="009F2BB3">
            <w:pPr>
              <w:jc w:val="right"/>
            </w:pPr>
            <w:r>
              <w:rPr>
                <w:color w:val="000000"/>
                <w:sz w:val="24"/>
              </w:rPr>
              <w:t>1,000,000</w:t>
            </w:r>
          </w:p>
        </w:tc>
        <w:tc>
          <w:tcPr>
            <w:tcW w:w="0" w:type="auto"/>
            <w:vAlign w:val="center"/>
          </w:tcPr>
          <w:p w:rsidR="009F2F73" w:rsidRDefault="009F2BB3">
            <w:pPr>
              <w:jc w:val="right"/>
            </w:pPr>
            <w:r>
              <w:rPr>
                <w:color w:val="000000"/>
                <w:sz w:val="24"/>
              </w:rPr>
              <w:t>103,100,000.00</w:t>
            </w:r>
          </w:p>
        </w:tc>
        <w:tc>
          <w:tcPr>
            <w:tcW w:w="0" w:type="auto"/>
            <w:vAlign w:val="center"/>
          </w:tcPr>
          <w:p w:rsidR="009F2F73" w:rsidRDefault="009F2BB3">
            <w:pPr>
              <w:jc w:val="right"/>
            </w:pPr>
            <w:r>
              <w:rPr>
                <w:color w:val="000000"/>
                <w:sz w:val="24"/>
              </w:rPr>
              <w:t>2.21</w:t>
            </w:r>
          </w:p>
        </w:tc>
      </w:tr>
      <w:tr w:rsidR="009F2F73">
        <w:tc>
          <w:tcPr>
            <w:tcW w:w="0" w:type="auto"/>
            <w:vAlign w:val="center"/>
          </w:tcPr>
          <w:p w:rsidR="009F2F73" w:rsidRDefault="009F2BB3">
            <w:pPr>
              <w:jc w:val="center"/>
            </w:pPr>
            <w:r>
              <w:rPr>
                <w:color w:val="000000"/>
                <w:sz w:val="24"/>
              </w:rPr>
              <w:t>5</w:t>
            </w:r>
          </w:p>
        </w:tc>
        <w:tc>
          <w:tcPr>
            <w:tcW w:w="0" w:type="auto"/>
            <w:vAlign w:val="center"/>
          </w:tcPr>
          <w:p w:rsidR="009F2F73" w:rsidRDefault="009F2BB3">
            <w:pPr>
              <w:jc w:val="center"/>
            </w:pPr>
            <w:r>
              <w:rPr>
                <w:color w:val="000000"/>
                <w:sz w:val="24"/>
              </w:rPr>
              <w:t>101801485</w:t>
            </w:r>
          </w:p>
        </w:tc>
        <w:tc>
          <w:tcPr>
            <w:tcW w:w="0" w:type="auto"/>
            <w:vAlign w:val="center"/>
          </w:tcPr>
          <w:p w:rsidR="009F2F73" w:rsidRDefault="009F2BB3">
            <w:pPr>
              <w:jc w:val="center"/>
            </w:pPr>
            <w:r>
              <w:rPr>
                <w:color w:val="000000"/>
                <w:sz w:val="24"/>
              </w:rPr>
              <w:t>18</w:t>
            </w:r>
            <w:r>
              <w:rPr>
                <w:color w:val="000000"/>
                <w:sz w:val="24"/>
              </w:rPr>
              <w:t>中铁股</w:t>
            </w:r>
            <w:r>
              <w:rPr>
                <w:color w:val="000000"/>
                <w:sz w:val="24"/>
              </w:rPr>
              <w:t>MTN002A</w:t>
            </w:r>
          </w:p>
        </w:tc>
        <w:tc>
          <w:tcPr>
            <w:tcW w:w="0" w:type="auto"/>
            <w:vAlign w:val="center"/>
          </w:tcPr>
          <w:p w:rsidR="009F2F73" w:rsidRDefault="009F2BB3">
            <w:pPr>
              <w:jc w:val="right"/>
            </w:pPr>
            <w:r>
              <w:rPr>
                <w:color w:val="000000"/>
                <w:sz w:val="24"/>
              </w:rPr>
              <w:t>1,000,000</w:t>
            </w:r>
          </w:p>
        </w:tc>
        <w:tc>
          <w:tcPr>
            <w:tcW w:w="0" w:type="auto"/>
            <w:vAlign w:val="center"/>
          </w:tcPr>
          <w:p w:rsidR="009F2F73" w:rsidRDefault="009F2BB3">
            <w:pPr>
              <w:jc w:val="right"/>
            </w:pPr>
            <w:r>
              <w:rPr>
                <w:color w:val="000000"/>
                <w:sz w:val="24"/>
              </w:rPr>
              <w:t>101,590,000.00</w:t>
            </w:r>
          </w:p>
        </w:tc>
        <w:tc>
          <w:tcPr>
            <w:tcW w:w="0" w:type="auto"/>
            <w:vAlign w:val="center"/>
          </w:tcPr>
          <w:p w:rsidR="009F2F73" w:rsidRDefault="009F2BB3">
            <w:pPr>
              <w:jc w:val="right"/>
            </w:pPr>
            <w:r>
              <w:rPr>
                <w:color w:val="000000"/>
                <w:sz w:val="24"/>
              </w:rPr>
              <w:t>2.18</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9F2F73">
        <w:tc>
          <w:tcPr>
            <w:tcW w:w="0" w:type="auto"/>
            <w:vAlign w:val="center"/>
          </w:tcPr>
          <w:p w:rsidR="009F2F73" w:rsidRDefault="009F2BB3">
            <w:pPr>
              <w:jc w:val="center"/>
            </w:pPr>
            <w:r>
              <w:rPr>
                <w:color w:val="000000"/>
                <w:sz w:val="24"/>
              </w:rPr>
              <w:t>1</w:t>
            </w:r>
          </w:p>
        </w:tc>
        <w:tc>
          <w:tcPr>
            <w:tcW w:w="0" w:type="auto"/>
            <w:vAlign w:val="center"/>
          </w:tcPr>
          <w:p w:rsidR="009F2F73" w:rsidRDefault="009F2BB3">
            <w:pPr>
              <w:jc w:val="center"/>
            </w:pPr>
            <w:r>
              <w:rPr>
                <w:color w:val="000000"/>
                <w:sz w:val="24"/>
              </w:rPr>
              <w:t>156636</w:t>
            </w:r>
          </w:p>
        </w:tc>
        <w:tc>
          <w:tcPr>
            <w:tcW w:w="0" w:type="auto"/>
            <w:vAlign w:val="center"/>
          </w:tcPr>
          <w:p w:rsidR="009F2F73" w:rsidRDefault="009F2BB3">
            <w:pPr>
              <w:jc w:val="center"/>
            </w:pPr>
            <w:r>
              <w:rPr>
                <w:color w:val="000000"/>
                <w:sz w:val="24"/>
              </w:rPr>
              <w:t>19</w:t>
            </w:r>
            <w:r>
              <w:rPr>
                <w:color w:val="000000"/>
                <w:sz w:val="24"/>
              </w:rPr>
              <w:t>裕源</w:t>
            </w:r>
            <w:r>
              <w:rPr>
                <w:color w:val="000000"/>
                <w:sz w:val="24"/>
              </w:rPr>
              <w:t>03</w:t>
            </w:r>
          </w:p>
        </w:tc>
        <w:tc>
          <w:tcPr>
            <w:tcW w:w="0" w:type="auto"/>
            <w:vAlign w:val="center"/>
          </w:tcPr>
          <w:p w:rsidR="009F2F73" w:rsidRDefault="009F2BB3">
            <w:pPr>
              <w:jc w:val="right"/>
            </w:pPr>
            <w:r>
              <w:rPr>
                <w:color w:val="000000"/>
                <w:sz w:val="24"/>
              </w:rPr>
              <w:t>100,000</w:t>
            </w:r>
          </w:p>
        </w:tc>
        <w:tc>
          <w:tcPr>
            <w:tcW w:w="0" w:type="auto"/>
            <w:vAlign w:val="center"/>
          </w:tcPr>
          <w:p w:rsidR="009F2F73" w:rsidRDefault="009F2BB3">
            <w:pPr>
              <w:jc w:val="right"/>
            </w:pPr>
            <w:r>
              <w:rPr>
                <w:color w:val="000000"/>
                <w:sz w:val="24"/>
              </w:rPr>
              <w:t>10,001,000.00</w:t>
            </w:r>
          </w:p>
        </w:tc>
        <w:tc>
          <w:tcPr>
            <w:tcW w:w="0" w:type="auto"/>
            <w:vAlign w:val="center"/>
          </w:tcPr>
          <w:p w:rsidR="009F2F73" w:rsidRDefault="009F2BB3">
            <w:pPr>
              <w:jc w:val="right"/>
            </w:pPr>
            <w:r>
              <w:rPr>
                <w:color w:val="000000"/>
                <w:sz w:val="24"/>
              </w:rPr>
              <w:t>0.21</w:t>
            </w:r>
          </w:p>
        </w:tc>
      </w:tr>
      <w:tr w:rsidR="009F2F73">
        <w:tc>
          <w:tcPr>
            <w:tcW w:w="0" w:type="auto"/>
            <w:vAlign w:val="center"/>
          </w:tcPr>
          <w:p w:rsidR="009F2F73" w:rsidRDefault="009F2BB3">
            <w:pPr>
              <w:jc w:val="center"/>
            </w:pPr>
            <w:r>
              <w:rPr>
                <w:color w:val="000000"/>
                <w:sz w:val="24"/>
              </w:rPr>
              <w:t>2</w:t>
            </w:r>
          </w:p>
        </w:tc>
        <w:tc>
          <w:tcPr>
            <w:tcW w:w="0" w:type="auto"/>
            <w:vAlign w:val="center"/>
          </w:tcPr>
          <w:p w:rsidR="009F2F73" w:rsidRDefault="009F2BB3">
            <w:pPr>
              <w:jc w:val="center"/>
            </w:pPr>
            <w:r>
              <w:rPr>
                <w:color w:val="000000"/>
                <w:sz w:val="24"/>
              </w:rPr>
              <w:t>138332</w:t>
            </w:r>
          </w:p>
        </w:tc>
        <w:tc>
          <w:tcPr>
            <w:tcW w:w="0" w:type="auto"/>
            <w:vAlign w:val="center"/>
          </w:tcPr>
          <w:p w:rsidR="009F2F73" w:rsidRDefault="009F2BB3">
            <w:pPr>
              <w:jc w:val="center"/>
            </w:pPr>
            <w:r>
              <w:rPr>
                <w:color w:val="000000"/>
                <w:sz w:val="24"/>
              </w:rPr>
              <w:t>19</w:t>
            </w:r>
            <w:r>
              <w:rPr>
                <w:color w:val="000000"/>
                <w:sz w:val="24"/>
              </w:rPr>
              <w:t>桃源</w:t>
            </w:r>
            <w:r>
              <w:rPr>
                <w:color w:val="000000"/>
                <w:sz w:val="24"/>
              </w:rPr>
              <w:t>2A</w:t>
            </w:r>
          </w:p>
        </w:tc>
        <w:tc>
          <w:tcPr>
            <w:tcW w:w="0" w:type="auto"/>
            <w:vAlign w:val="center"/>
          </w:tcPr>
          <w:p w:rsidR="009F2F73" w:rsidRDefault="009F2BB3">
            <w:pPr>
              <w:jc w:val="right"/>
            </w:pPr>
            <w:r>
              <w:rPr>
                <w:color w:val="000000"/>
                <w:sz w:val="24"/>
              </w:rPr>
              <w:t>100,000</w:t>
            </w:r>
          </w:p>
        </w:tc>
        <w:tc>
          <w:tcPr>
            <w:tcW w:w="0" w:type="auto"/>
            <w:vAlign w:val="center"/>
          </w:tcPr>
          <w:p w:rsidR="009F2F73" w:rsidRDefault="009F2BB3">
            <w:pPr>
              <w:jc w:val="right"/>
            </w:pPr>
            <w:r>
              <w:rPr>
                <w:color w:val="000000"/>
                <w:sz w:val="24"/>
              </w:rPr>
              <w:t>10,000,000.00</w:t>
            </w:r>
          </w:p>
        </w:tc>
        <w:tc>
          <w:tcPr>
            <w:tcW w:w="0" w:type="auto"/>
            <w:vAlign w:val="center"/>
          </w:tcPr>
          <w:p w:rsidR="009F2F73" w:rsidRDefault="009F2BB3">
            <w:pPr>
              <w:jc w:val="right"/>
            </w:pPr>
            <w:r>
              <w:rPr>
                <w:color w:val="000000"/>
                <w:sz w:val="24"/>
              </w:rPr>
              <w:t>0.21</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本基金本报告期没有投资股票，因此不存在投资的前十名股票超出基金合同规定的备选股票库情况。</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19,620.35</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108,383,255.41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10,540,416.32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118,943,292.08</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易方达信用债债券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易方达信用债债券</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2,829,712,096.52</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714,466,274.86</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1,310,375,268.95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335,199,090.76</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621,640,592.08</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356,733,863.33</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3,518,446,773.39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692,931,502.29</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9F2F73" w:rsidRDefault="009F2BB3">
      <w:pPr>
        <w:spacing w:line="360" w:lineRule="auto"/>
        <w:ind w:firstLineChars="200" w:firstLine="480"/>
        <w:rPr>
          <w:color w:val="000000"/>
          <w:sz w:val="24"/>
        </w:rPr>
      </w:pPr>
      <w:r>
        <w:rPr>
          <w:color w:val="000000"/>
          <w:sz w:val="24"/>
        </w:rPr>
        <w:t>1.</w:t>
      </w:r>
      <w:r>
        <w:rPr>
          <w:color w:val="000000"/>
          <w:sz w:val="24"/>
        </w:rPr>
        <w:t>中国证监会核准易方达信用债债券型证券投资基金募集的文件；</w:t>
      </w:r>
    </w:p>
    <w:p w:rsidR="009F2F73" w:rsidRDefault="009F2BB3">
      <w:pPr>
        <w:spacing w:line="360" w:lineRule="auto"/>
        <w:ind w:firstLineChars="200" w:firstLine="480"/>
        <w:rPr>
          <w:color w:val="000000"/>
          <w:sz w:val="24"/>
        </w:rPr>
      </w:pPr>
      <w:r>
        <w:rPr>
          <w:color w:val="000000"/>
          <w:sz w:val="24"/>
        </w:rPr>
        <w:t>2.</w:t>
      </w:r>
      <w:r>
        <w:rPr>
          <w:color w:val="000000"/>
          <w:sz w:val="24"/>
        </w:rPr>
        <w:t>《易方达信用债债券型证券投资基金基金合同》；</w:t>
      </w:r>
    </w:p>
    <w:p w:rsidR="009F2F73" w:rsidRDefault="009F2BB3">
      <w:pPr>
        <w:spacing w:line="360" w:lineRule="auto"/>
        <w:ind w:firstLineChars="200" w:firstLine="480"/>
        <w:rPr>
          <w:color w:val="000000"/>
          <w:sz w:val="24"/>
        </w:rPr>
      </w:pPr>
      <w:r>
        <w:rPr>
          <w:color w:val="000000"/>
          <w:sz w:val="24"/>
        </w:rPr>
        <w:t>3.</w:t>
      </w:r>
      <w:r>
        <w:rPr>
          <w:color w:val="000000"/>
          <w:sz w:val="24"/>
        </w:rPr>
        <w:t>《易方达信用债债券型证券投资基金托管协议》；</w:t>
      </w:r>
    </w:p>
    <w:p w:rsidR="009F2F73" w:rsidRDefault="009F2BB3">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9F2BB3">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9F2BB3">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9F2BB3">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易方达信用债债券型证券投资基金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2BB3"/>
    <w:rsid w:val="009F2F73"/>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1007</Words>
  <Characters>5746</Characters>
  <Application>Microsoft Office Word</Application>
  <DocSecurity>4</DocSecurity>
  <Lines>47</Lines>
  <Paragraphs>13</Paragraphs>
  <ScaleCrop>false</ScaleCrop>
  <Company>TRT. Ltd. Co.</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