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D48" w:rsidRPr="00264E55" w:rsidRDefault="00750D48" w:rsidP="004061AC">
      <w:pPr>
        <w:autoSpaceDE w:val="0"/>
        <w:autoSpaceDN w:val="0"/>
        <w:adjustRightInd w:val="0"/>
        <w:spacing w:line="360" w:lineRule="auto"/>
        <w:jc w:val="left"/>
        <w:rPr>
          <w:rFonts w:ascii="宋体"/>
          <w:color w:val="000000"/>
          <w:kern w:val="0"/>
          <w:sz w:val="24"/>
          <w:szCs w:val="24"/>
        </w:rPr>
      </w:pPr>
      <w:bookmarkStart w:id="0" w:name="_GoBack"/>
      <w:bookmarkEnd w:id="0"/>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542546">
      <w:pPr>
        <w:spacing w:line="360" w:lineRule="auto"/>
        <w:jc w:val="center"/>
        <w:rPr>
          <w:rFonts w:ascii="宋体" w:hAnsi="宋体"/>
          <w:b/>
          <w:sz w:val="36"/>
          <w:szCs w:val="36"/>
        </w:rPr>
      </w:pPr>
      <w:r w:rsidRPr="00264E55">
        <w:rPr>
          <w:rFonts w:ascii="宋体" w:hAnsi="宋体"/>
          <w:b/>
          <w:sz w:val="36"/>
          <w:szCs w:val="36"/>
        </w:rPr>
        <w:t>易方达新兴成长灵活配置混合型证券投资基金</w:t>
      </w:r>
    </w:p>
    <w:p w:rsidR="00750D48" w:rsidRPr="00264E55" w:rsidRDefault="00750D48" w:rsidP="00542546">
      <w:pPr>
        <w:spacing w:line="360" w:lineRule="auto"/>
        <w:jc w:val="center"/>
        <w:rPr>
          <w:rFonts w:ascii="宋体" w:hAnsi="宋体"/>
          <w:b/>
          <w:sz w:val="36"/>
          <w:szCs w:val="36"/>
        </w:rPr>
      </w:pPr>
      <w:r w:rsidRPr="00264E55">
        <w:rPr>
          <w:rFonts w:ascii="宋体" w:hAnsi="宋体"/>
          <w:b/>
          <w:sz w:val="36"/>
          <w:szCs w:val="36"/>
        </w:rPr>
        <w:t>2019年第4季度报告</w:t>
      </w:r>
    </w:p>
    <w:p w:rsidR="00750D48" w:rsidRPr="00093704" w:rsidRDefault="00750D48" w:rsidP="00542546">
      <w:pPr>
        <w:spacing w:line="360" w:lineRule="auto"/>
        <w:jc w:val="center"/>
        <w:rPr>
          <w:rFonts w:ascii="宋体" w:hAnsi="宋体"/>
          <w:b/>
          <w:sz w:val="24"/>
          <w:szCs w:val="24"/>
        </w:rPr>
      </w:pPr>
      <w:r w:rsidRPr="00093704">
        <w:rPr>
          <w:rFonts w:ascii="宋体" w:hAnsi="宋体"/>
          <w:b/>
          <w:sz w:val="24"/>
          <w:szCs w:val="24"/>
        </w:rPr>
        <w:t>2019年12月31日</w:t>
      </w: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rPr>
          <w:rFonts w:ascii="宋体"/>
          <w:b/>
          <w:bCs/>
          <w:color w:val="000000"/>
          <w:sz w:val="24"/>
          <w:szCs w:val="24"/>
        </w:rPr>
      </w:pPr>
    </w:p>
    <w:p w:rsidR="00750D48" w:rsidRPr="00264E55" w:rsidRDefault="00750D48" w:rsidP="00EB572F">
      <w:pPr>
        <w:spacing w:line="360" w:lineRule="auto"/>
        <w:ind w:firstLineChars="900" w:firstLine="2168"/>
        <w:rPr>
          <w:rFonts w:ascii="宋体" w:hAnsi="宋体"/>
          <w:b/>
          <w:color w:val="000000"/>
          <w:sz w:val="24"/>
          <w:szCs w:val="24"/>
        </w:rPr>
      </w:pPr>
      <w:r w:rsidRPr="00264E55">
        <w:rPr>
          <w:rFonts w:ascii="宋体" w:hAnsi="宋体" w:hint="eastAsia"/>
          <w:b/>
          <w:color w:val="000000"/>
          <w:sz w:val="24"/>
          <w:szCs w:val="24"/>
        </w:rPr>
        <w:t>基金管理人：</w:t>
      </w:r>
      <w:r w:rsidRPr="00264E55">
        <w:rPr>
          <w:rFonts w:ascii="宋体" w:hAnsi="宋体"/>
          <w:b/>
          <w:color w:val="000000"/>
          <w:sz w:val="24"/>
          <w:szCs w:val="24"/>
        </w:rPr>
        <w:t>易方达基金管理有限公司</w:t>
      </w:r>
    </w:p>
    <w:p w:rsidR="00750D48" w:rsidRPr="00264E55" w:rsidRDefault="00750D48" w:rsidP="00EB572F">
      <w:pPr>
        <w:spacing w:line="360" w:lineRule="auto"/>
        <w:ind w:firstLineChars="900" w:firstLine="2168"/>
        <w:rPr>
          <w:rFonts w:ascii="宋体" w:hAnsi="宋体"/>
          <w:b/>
          <w:color w:val="000000"/>
          <w:sz w:val="24"/>
          <w:szCs w:val="24"/>
        </w:rPr>
      </w:pPr>
      <w:r w:rsidRPr="00264E55">
        <w:rPr>
          <w:rFonts w:ascii="宋体" w:hAnsi="宋体" w:hint="eastAsia"/>
          <w:b/>
          <w:color w:val="000000"/>
          <w:sz w:val="24"/>
          <w:szCs w:val="24"/>
        </w:rPr>
        <w:t>基金托管人：</w:t>
      </w:r>
      <w:r w:rsidRPr="00264E55">
        <w:rPr>
          <w:rFonts w:ascii="宋体" w:hAnsi="宋体"/>
          <w:b/>
          <w:color w:val="000000"/>
          <w:sz w:val="24"/>
          <w:szCs w:val="24"/>
        </w:rPr>
        <w:t>中国工商银行股份有限公司</w:t>
      </w:r>
    </w:p>
    <w:p w:rsidR="00750D48" w:rsidRPr="00264E55" w:rsidRDefault="00750D48" w:rsidP="00EB572F">
      <w:pPr>
        <w:spacing w:line="360" w:lineRule="auto"/>
        <w:ind w:firstLineChars="900" w:firstLine="2168"/>
        <w:rPr>
          <w:rFonts w:ascii="宋体" w:hAnsi="宋体"/>
          <w:b/>
          <w:color w:val="000000"/>
          <w:sz w:val="24"/>
          <w:szCs w:val="24"/>
        </w:rPr>
        <w:sectPr w:rsidR="00750D48" w:rsidRPr="00264E55" w:rsidSect="00304A12">
          <w:headerReference w:type="default" r:id="rId8"/>
          <w:footerReference w:type="default" r:id="rId9"/>
          <w:pgSz w:w="11926" w:h="15840"/>
          <w:pgMar w:top="1418" w:right="1418" w:bottom="851" w:left="1418" w:header="851" w:footer="992" w:gutter="0"/>
          <w:cols w:space="720"/>
          <w:noEndnote/>
        </w:sectPr>
      </w:pPr>
      <w:r w:rsidRPr="00264E55">
        <w:rPr>
          <w:rFonts w:ascii="宋体" w:hAnsi="宋体" w:hint="eastAsia"/>
          <w:b/>
          <w:color w:val="000000"/>
          <w:sz w:val="24"/>
          <w:szCs w:val="24"/>
        </w:rPr>
        <w:t>报告送出日期：</w:t>
      </w:r>
      <w:r w:rsidRPr="00264E55">
        <w:rPr>
          <w:rFonts w:ascii="宋体" w:hAnsi="宋体"/>
          <w:b/>
          <w:color w:val="000000"/>
          <w:sz w:val="24"/>
          <w:szCs w:val="24"/>
        </w:rPr>
        <w:t>二〇二〇年一月十八日</w:t>
      </w:r>
    </w:p>
    <w:p w:rsidR="00750D48" w:rsidRPr="00264E55" w:rsidRDefault="00750D48" w:rsidP="004D28A3">
      <w:pPr>
        <w:pStyle w:val="1"/>
        <w:spacing w:beforeLines="100" w:before="312" w:afterLines="100" w:after="312" w:line="360" w:lineRule="auto"/>
        <w:jc w:val="center"/>
        <w:rPr>
          <w:rFonts w:ascii="宋体"/>
          <w:b w:val="0"/>
          <w:bCs w:val="0"/>
          <w:color w:val="000000"/>
          <w:kern w:val="0"/>
          <w:sz w:val="24"/>
          <w:szCs w:val="24"/>
        </w:rPr>
      </w:pPr>
      <w:r w:rsidRPr="00264E55">
        <w:rPr>
          <w:rFonts w:ascii="宋体" w:hAnsi="宋体" w:hint="eastAsia"/>
          <w:color w:val="000000"/>
          <w:kern w:val="0"/>
          <w:sz w:val="24"/>
          <w:szCs w:val="24"/>
        </w:rPr>
        <w:lastRenderedPageBreak/>
        <w:t>§</w:t>
      </w:r>
      <w:r w:rsidRPr="00264E55">
        <w:rPr>
          <w:rFonts w:ascii="宋体" w:hAnsi="宋体"/>
          <w:color w:val="000000"/>
          <w:kern w:val="0"/>
          <w:sz w:val="24"/>
          <w:szCs w:val="24"/>
        </w:rPr>
        <w:t xml:space="preserve">1  </w:t>
      </w:r>
      <w:r w:rsidRPr="00264E55">
        <w:rPr>
          <w:rFonts w:ascii="宋体" w:hAnsi="宋体" w:hint="eastAsia"/>
          <w:color w:val="000000"/>
          <w:kern w:val="0"/>
          <w:sz w:val="24"/>
          <w:szCs w:val="24"/>
        </w:rPr>
        <w:t>重要提示</w:t>
      </w:r>
    </w:p>
    <w:p w:rsidR="00CC5D1F" w:rsidRDefault="00FA6BEC">
      <w:pPr>
        <w:spacing w:line="360"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CC5D1F" w:rsidRDefault="00FA6BEC">
      <w:pPr>
        <w:spacing w:line="360" w:lineRule="auto"/>
        <w:ind w:firstLineChars="200" w:firstLine="480"/>
        <w:rPr>
          <w:color w:val="000000"/>
          <w:sz w:val="24"/>
          <w:szCs w:val="24"/>
        </w:rPr>
      </w:pPr>
      <w:r>
        <w:rPr>
          <w:color w:val="000000"/>
          <w:sz w:val="24"/>
          <w:szCs w:val="24"/>
        </w:rPr>
        <w:t>基金托管人中国工商银行股份有限公司根据本基金合同规定，于</w:t>
      </w:r>
      <w:r>
        <w:rPr>
          <w:color w:val="000000"/>
          <w:sz w:val="24"/>
          <w:szCs w:val="24"/>
        </w:rPr>
        <w:t>2020</w:t>
      </w:r>
      <w:r>
        <w:rPr>
          <w:color w:val="000000"/>
          <w:sz w:val="24"/>
          <w:szCs w:val="24"/>
        </w:rPr>
        <w:t>年</w:t>
      </w:r>
      <w:r>
        <w:rPr>
          <w:color w:val="000000"/>
          <w:sz w:val="24"/>
          <w:szCs w:val="24"/>
        </w:rPr>
        <w:t>1</w:t>
      </w:r>
      <w:r>
        <w:rPr>
          <w:color w:val="000000"/>
          <w:sz w:val="24"/>
          <w:szCs w:val="24"/>
        </w:rPr>
        <w:t>月</w:t>
      </w:r>
      <w:r>
        <w:rPr>
          <w:color w:val="000000"/>
          <w:sz w:val="24"/>
          <w:szCs w:val="24"/>
        </w:rPr>
        <w:t>16</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CC5D1F" w:rsidRDefault="00FA6BEC">
      <w:pPr>
        <w:spacing w:line="360"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w:t>
      </w:r>
      <w:r>
        <w:rPr>
          <w:color w:val="000000"/>
          <w:sz w:val="24"/>
          <w:szCs w:val="24"/>
        </w:rPr>
        <w:t xml:space="preserve"> </w:t>
      </w:r>
    </w:p>
    <w:p w:rsidR="00CC5D1F" w:rsidRDefault="00FA6BEC">
      <w:pPr>
        <w:spacing w:line="360"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CC5D1F" w:rsidRDefault="00FA6BEC">
      <w:pPr>
        <w:spacing w:line="360" w:lineRule="auto"/>
        <w:ind w:firstLineChars="200" w:firstLine="480"/>
        <w:rPr>
          <w:color w:val="000000"/>
          <w:sz w:val="24"/>
          <w:szCs w:val="24"/>
        </w:rPr>
      </w:pPr>
      <w:r>
        <w:rPr>
          <w:color w:val="000000"/>
          <w:sz w:val="24"/>
          <w:szCs w:val="24"/>
        </w:rPr>
        <w:t>本报告中财务资料未经审计。</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本报告期自</w:t>
      </w:r>
      <w:r w:rsidRPr="006C56AA">
        <w:rPr>
          <w:color w:val="000000"/>
          <w:sz w:val="24"/>
          <w:szCs w:val="24"/>
        </w:rPr>
        <w:t>2019</w:t>
      </w:r>
      <w:r w:rsidRPr="006C56AA">
        <w:rPr>
          <w:color w:val="000000"/>
          <w:sz w:val="24"/>
          <w:szCs w:val="24"/>
        </w:rPr>
        <w:t>年</w:t>
      </w:r>
      <w:r w:rsidRPr="006C56AA">
        <w:rPr>
          <w:color w:val="000000"/>
          <w:sz w:val="24"/>
          <w:szCs w:val="24"/>
        </w:rPr>
        <w:t>10</w:t>
      </w:r>
      <w:r w:rsidRPr="006C56AA">
        <w:rPr>
          <w:color w:val="000000"/>
          <w:sz w:val="24"/>
          <w:szCs w:val="24"/>
        </w:rPr>
        <w:t>月</w:t>
      </w:r>
      <w:r w:rsidRPr="006C56AA">
        <w:rPr>
          <w:color w:val="000000"/>
          <w:sz w:val="24"/>
          <w:szCs w:val="24"/>
        </w:rPr>
        <w:t>1</w:t>
      </w:r>
      <w:r w:rsidRPr="006C56AA">
        <w:rPr>
          <w:color w:val="000000"/>
          <w:sz w:val="24"/>
          <w:szCs w:val="24"/>
        </w:rPr>
        <w:t>日起至</w:t>
      </w:r>
      <w:r w:rsidRPr="006C56AA">
        <w:rPr>
          <w:color w:val="000000"/>
          <w:sz w:val="24"/>
          <w:szCs w:val="24"/>
        </w:rPr>
        <w:t>12</w:t>
      </w:r>
      <w:r w:rsidRPr="006C56AA">
        <w:rPr>
          <w:color w:val="000000"/>
          <w:sz w:val="24"/>
          <w:szCs w:val="24"/>
        </w:rPr>
        <w:t>月</w:t>
      </w:r>
      <w:r w:rsidRPr="006C56AA">
        <w:rPr>
          <w:color w:val="000000"/>
          <w:sz w:val="24"/>
          <w:szCs w:val="24"/>
        </w:rPr>
        <w:t>31</w:t>
      </w:r>
      <w:r w:rsidRPr="006C56AA">
        <w:rPr>
          <w:color w:val="000000"/>
          <w:sz w:val="24"/>
          <w:szCs w:val="24"/>
        </w:rPr>
        <w:t>日止。</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2  </w:t>
      </w:r>
      <w:r w:rsidRPr="00264E55">
        <w:rPr>
          <w:rFonts w:ascii="宋体" w:hAnsi="宋体" w:hint="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5479"/>
      </w:tblGrid>
      <w:tr w:rsidR="00750D48" w:rsidRPr="00264E55" w:rsidTr="00500A03">
        <w:tc>
          <w:tcPr>
            <w:tcW w:w="2835" w:type="dxa"/>
          </w:tcPr>
          <w:p w:rsidR="00750D48" w:rsidRPr="00232B03" w:rsidRDefault="00750D48" w:rsidP="007B5AFB">
            <w:pPr>
              <w:adjustRightInd w:val="0"/>
              <w:spacing w:before="29" w:line="360" w:lineRule="auto"/>
              <w:ind w:left="17"/>
              <w:jc w:val="left"/>
              <w:rPr>
                <w:kern w:val="0"/>
                <w:sz w:val="24"/>
                <w:szCs w:val="24"/>
              </w:rPr>
            </w:pPr>
            <w:r w:rsidRPr="00232B03">
              <w:rPr>
                <w:kern w:val="0"/>
                <w:sz w:val="24"/>
                <w:szCs w:val="24"/>
              </w:rPr>
              <w:t>基金简称</w:t>
            </w:r>
          </w:p>
        </w:tc>
        <w:tc>
          <w:tcPr>
            <w:tcW w:w="5479" w:type="dxa"/>
          </w:tcPr>
          <w:p w:rsidR="00750D48" w:rsidRPr="00232B03" w:rsidRDefault="00750D48" w:rsidP="007B5AFB">
            <w:pPr>
              <w:adjustRightInd w:val="0"/>
              <w:spacing w:before="29" w:line="360" w:lineRule="auto"/>
              <w:ind w:left="17"/>
              <w:jc w:val="left"/>
              <w:rPr>
                <w:color w:val="000000"/>
                <w:kern w:val="0"/>
                <w:sz w:val="24"/>
                <w:szCs w:val="24"/>
              </w:rPr>
            </w:pPr>
            <w:r w:rsidRPr="00232B03">
              <w:rPr>
                <w:color w:val="000000"/>
                <w:kern w:val="0"/>
                <w:sz w:val="24"/>
                <w:szCs w:val="24"/>
              </w:rPr>
              <w:t>易方达新兴成长混合</w:t>
            </w:r>
          </w:p>
        </w:tc>
      </w:tr>
      <w:tr w:rsidR="00750D48" w:rsidRPr="00264E55" w:rsidTr="00D94B8D">
        <w:tc>
          <w:tcPr>
            <w:tcW w:w="2835" w:type="dxa"/>
          </w:tcPr>
          <w:p w:rsidR="00750D48" w:rsidRPr="00232B03" w:rsidRDefault="00750D48">
            <w:pPr>
              <w:adjustRightInd w:val="0"/>
              <w:spacing w:before="29" w:line="360" w:lineRule="auto"/>
              <w:ind w:left="17"/>
              <w:jc w:val="left"/>
              <w:rPr>
                <w:kern w:val="0"/>
                <w:sz w:val="24"/>
                <w:szCs w:val="24"/>
              </w:rPr>
            </w:pPr>
            <w:r w:rsidRPr="00232B03">
              <w:rPr>
                <w:kern w:val="0"/>
                <w:sz w:val="24"/>
                <w:szCs w:val="24"/>
              </w:rPr>
              <w:t>基金主代码</w:t>
            </w:r>
          </w:p>
        </w:tc>
        <w:tc>
          <w:tcPr>
            <w:tcW w:w="5479" w:type="dxa"/>
          </w:tcPr>
          <w:p w:rsidR="00750D48" w:rsidRPr="00232B03" w:rsidRDefault="00750D48">
            <w:pPr>
              <w:adjustRightInd w:val="0"/>
              <w:spacing w:before="29" w:line="360" w:lineRule="auto"/>
              <w:ind w:left="17"/>
              <w:jc w:val="left"/>
              <w:rPr>
                <w:color w:val="000000"/>
                <w:kern w:val="0"/>
                <w:sz w:val="24"/>
                <w:szCs w:val="24"/>
              </w:rPr>
            </w:pPr>
            <w:r w:rsidRPr="00232B03">
              <w:rPr>
                <w:color w:val="000000"/>
                <w:kern w:val="0"/>
                <w:sz w:val="24"/>
                <w:szCs w:val="24"/>
              </w:rPr>
              <w:t>000404</w:t>
            </w:r>
          </w:p>
        </w:tc>
      </w:tr>
      <w:tr w:rsidR="00750D48" w:rsidRPr="00264E55" w:rsidTr="00D94B8D">
        <w:tc>
          <w:tcPr>
            <w:tcW w:w="2835" w:type="dxa"/>
          </w:tcPr>
          <w:p w:rsidR="00750D48" w:rsidRPr="00232B03" w:rsidRDefault="00750D48" w:rsidP="00895A8A">
            <w:pPr>
              <w:adjustRightInd w:val="0"/>
              <w:spacing w:before="29" w:line="360" w:lineRule="auto"/>
              <w:ind w:left="17"/>
              <w:jc w:val="left"/>
              <w:rPr>
                <w:kern w:val="0"/>
                <w:sz w:val="24"/>
                <w:szCs w:val="24"/>
              </w:rPr>
            </w:pPr>
            <w:r w:rsidRPr="00232B03">
              <w:rPr>
                <w:kern w:val="0"/>
                <w:sz w:val="24"/>
                <w:szCs w:val="24"/>
              </w:rPr>
              <w:t>交易代码</w:t>
            </w:r>
          </w:p>
        </w:tc>
        <w:tc>
          <w:tcPr>
            <w:tcW w:w="5479" w:type="dxa"/>
          </w:tcPr>
          <w:p w:rsidR="00750D48" w:rsidRPr="00232B03" w:rsidRDefault="00750D48" w:rsidP="00895A8A">
            <w:pPr>
              <w:adjustRightInd w:val="0"/>
              <w:spacing w:before="29" w:line="360" w:lineRule="auto"/>
              <w:ind w:left="17"/>
              <w:jc w:val="left"/>
              <w:rPr>
                <w:color w:val="000000"/>
                <w:kern w:val="0"/>
                <w:sz w:val="24"/>
                <w:szCs w:val="24"/>
              </w:rPr>
            </w:pPr>
            <w:r w:rsidRPr="00232B03">
              <w:rPr>
                <w:kern w:val="0"/>
                <w:sz w:val="24"/>
              </w:rPr>
              <w:t>000404</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基金运作方式</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契约型开放式</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基金合同生效日</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2013</w:t>
            </w:r>
            <w:r w:rsidRPr="00232B03">
              <w:rPr>
                <w:color w:val="000000"/>
                <w:kern w:val="0"/>
                <w:sz w:val="24"/>
                <w:szCs w:val="24"/>
              </w:rPr>
              <w:t>年</w:t>
            </w:r>
            <w:r w:rsidRPr="00232B03">
              <w:rPr>
                <w:color w:val="000000"/>
                <w:kern w:val="0"/>
                <w:sz w:val="24"/>
                <w:szCs w:val="24"/>
              </w:rPr>
              <w:t>11</w:t>
            </w:r>
            <w:r w:rsidRPr="00232B03">
              <w:rPr>
                <w:color w:val="000000"/>
                <w:kern w:val="0"/>
                <w:sz w:val="24"/>
                <w:szCs w:val="24"/>
              </w:rPr>
              <w:t>月</w:t>
            </w:r>
            <w:r w:rsidRPr="00232B03">
              <w:rPr>
                <w:color w:val="000000"/>
                <w:kern w:val="0"/>
                <w:sz w:val="24"/>
                <w:szCs w:val="24"/>
              </w:rPr>
              <w:t>28</w:t>
            </w:r>
            <w:r w:rsidRPr="00232B03">
              <w:rPr>
                <w:color w:val="000000"/>
                <w:kern w:val="0"/>
                <w:sz w:val="24"/>
                <w:szCs w:val="24"/>
              </w:rPr>
              <w:t>日</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报告期末基金份额总额</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1,049,455,693.23</w:t>
            </w:r>
            <w:r w:rsidRPr="00232B03">
              <w:rPr>
                <w:color w:val="000000"/>
                <w:kern w:val="0"/>
                <w:sz w:val="24"/>
                <w:szCs w:val="24"/>
              </w:rPr>
              <w:t>份</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投资目标</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本基金在严格控制风险的前提下，追求超越业绩比较基准的投资回报和资产的长期稳健增值。</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投资策略</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本基金的资产配置主要是基于定量与定性相结合的宏观及市场分析，确定组合中股票、债券、货币市场工具及其他金融工具的比例。在股票投资策略方面，本基金将从新兴产业中优选预期成长性较好的公司的股票进行投资。本基金所指的预期成长性</w:t>
            </w:r>
            <w:r w:rsidRPr="00232B03">
              <w:rPr>
                <w:color w:val="000000"/>
                <w:kern w:val="0"/>
                <w:sz w:val="24"/>
                <w:szCs w:val="24"/>
              </w:rPr>
              <w:lastRenderedPageBreak/>
              <w:t>较好的公司是指预期净利润复合增长率高于同期</w:t>
            </w:r>
            <w:r w:rsidRPr="00232B03">
              <w:rPr>
                <w:color w:val="000000"/>
                <w:kern w:val="0"/>
                <w:sz w:val="24"/>
                <w:szCs w:val="24"/>
              </w:rPr>
              <w:t>GDP</w:t>
            </w:r>
            <w:r w:rsidRPr="00232B03">
              <w:rPr>
                <w:color w:val="000000"/>
                <w:kern w:val="0"/>
                <w:sz w:val="24"/>
                <w:szCs w:val="24"/>
              </w:rPr>
              <w:t>增长率</w:t>
            </w:r>
            <w:r w:rsidRPr="00232B03">
              <w:rPr>
                <w:color w:val="000000"/>
                <w:kern w:val="0"/>
                <w:sz w:val="24"/>
                <w:szCs w:val="24"/>
              </w:rPr>
              <w:t>2</w:t>
            </w:r>
            <w:r w:rsidRPr="00232B03">
              <w:rPr>
                <w:color w:val="000000"/>
                <w:kern w:val="0"/>
                <w:sz w:val="24"/>
                <w:szCs w:val="24"/>
              </w:rPr>
              <w:t>倍并满足公司所在行业景气度较高且具有可持续性、公司所在行业竞争格局良好以及公司管理层素质较高等标准的公司。在债券投资策略方面，本基金主要通过类属配置与券种选择两个层次进行投资管理。同时，本基金将根据对现货和期货市场的分析，采取多头或空头套期保值等策略进行套期保值操作。</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lastRenderedPageBreak/>
              <w:t>业绩比较基准</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中证新兴产业指数收益率</w:t>
            </w:r>
            <w:r w:rsidRPr="00232B03">
              <w:rPr>
                <w:color w:val="000000"/>
                <w:kern w:val="0"/>
                <w:sz w:val="24"/>
                <w:szCs w:val="24"/>
              </w:rPr>
              <w:t>×50%+</w:t>
            </w:r>
            <w:r w:rsidRPr="00232B03">
              <w:rPr>
                <w:color w:val="000000"/>
                <w:kern w:val="0"/>
                <w:sz w:val="24"/>
                <w:szCs w:val="24"/>
              </w:rPr>
              <w:t>中债总财富指数收益率</w:t>
            </w:r>
            <w:r w:rsidRPr="00232B03">
              <w:rPr>
                <w:color w:val="000000"/>
                <w:kern w:val="0"/>
                <w:sz w:val="24"/>
                <w:szCs w:val="24"/>
              </w:rPr>
              <w:t>×50%</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风险收益特征</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本基金为混合型基金，理论上其风险收益水平低于股票型基金，高于债券型基金和货币市场基金。</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基金管理人</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易方达基金管理有限公司</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基金托管人</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中国工商银行股份有限公司</w:t>
            </w:r>
          </w:p>
        </w:tc>
      </w:tr>
    </w:tbl>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3  </w:t>
      </w:r>
      <w:r w:rsidRPr="00264E55">
        <w:rPr>
          <w:rFonts w:ascii="宋体" w:hAnsi="宋体" w:hint="eastAsia"/>
          <w:color w:val="000000"/>
          <w:kern w:val="0"/>
          <w:sz w:val="24"/>
          <w:szCs w:val="24"/>
        </w:rPr>
        <w:t>主要财务指标和基金净值表现</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3.1 </w:t>
      </w:r>
      <w:r w:rsidRPr="00264E55">
        <w:rPr>
          <w:rFonts w:ascii="宋体" w:hAnsi="宋体" w:hint="eastAsia"/>
          <w:b/>
          <w:bCs/>
          <w:color w:val="000000"/>
          <w:kern w:val="0"/>
          <w:sz w:val="24"/>
          <w:szCs w:val="24"/>
        </w:rPr>
        <w:t>主要财务指标</w:t>
      </w:r>
    </w:p>
    <w:p w:rsidR="00392044" w:rsidRPr="006506EF" w:rsidRDefault="00392044" w:rsidP="00392044">
      <w:pPr>
        <w:autoSpaceDE w:val="0"/>
        <w:autoSpaceDN w:val="0"/>
        <w:adjustRightInd w:val="0"/>
        <w:spacing w:before="29" w:line="360" w:lineRule="auto"/>
        <w:ind w:left="15"/>
        <w:jc w:val="right"/>
        <w:rPr>
          <w:color w:val="000000"/>
          <w:kern w:val="0"/>
          <w:sz w:val="24"/>
        </w:rPr>
      </w:pPr>
      <w:r w:rsidRPr="006506EF">
        <w:rPr>
          <w:color w:val="000000"/>
          <w:kern w:val="0"/>
          <w:sz w:val="24"/>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552"/>
        <w:gridCol w:w="2410"/>
      </w:tblGrid>
      <w:tr w:rsidR="00392044" w:rsidRPr="006506EF" w:rsidTr="00C3442A">
        <w:tc>
          <w:tcPr>
            <w:tcW w:w="3402" w:type="dxa"/>
            <w:vAlign w:val="center"/>
          </w:tcPr>
          <w:p w:rsidR="00392044" w:rsidRPr="006506EF" w:rsidRDefault="00392044" w:rsidP="00C3442A">
            <w:pPr>
              <w:adjustRightInd w:val="0"/>
              <w:spacing w:before="29" w:line="360" w:lineRule="auto"/>
              <w:ind w:left="17"/>
              <w:jc w:val="center"/>
              <w:rPr>
                <w:kern w:val="0"/>
                <w:sz w:val="24"/>
              </w:rPr>
            </w:pPr>
            <w:r w:rsidRPr="006506EF">
              <w:rPr>
                <w:kern w:val="0"/>
                <w:sz w:val="24"/>
              </w:rPr>
              <w:t>主要财务指标</w:t>
            </w:r>
          </w:p>
        </w:tc>
        <w:tc>
          <w:tcPr>
            <w:tcW w:w="4962" w:type="dxa"/>
            <w:hMerge w:val="restart"/>
            <w:vAlign w:val="center"/>
          </w:tcPr>
          <w:p w:rsidR="00392044" w:rsidRPr="006506EF" w:rsidRDefault="00392044" w:rsidP="00C3442A">
            <w:pPr>
              <w:adjustRightInd w:val="0"/>
              <w:spacing w:before="29" w:line="360" w:lineRule="auto"/>
              <w:ind w:left="17"/>
              <w:jc w:val="center"/>
              <w:rPr>
                <w:color w:val="000000"/>
                <w:sz w:val="24"/>
              </w:rPr>
            </w:pPr>
            <w:r w:rsidRPr="006506EF">
              <w:rPr>
                <w:color w:val="000000"/>
                <w:sz w:val="24"/>
              </w:rPr>
              <w:t>报告期</w:t>
            </w:r>
          </w:p>
          <w:p w:rsidR="00392044" w:rsidRPr="006506EF" w:rsidRDefault="00392044" w:rsidP="00C3442A">
            <w:pPr>
              <w:adjustRightInd w:val="0"/>
              <w:spacing w:before="29" w:line="360" w:lineRule="auto"/>
              <w:ind w:left="17"/>
              <w:jc w:val="center"/>
              <w:rPr>
                <w:color w:val="000000"/>
                <w:sz w:val="24"/>
              </w:rPr>
            </w:pPr>
            <w:r w:rsidRPr="006506EF">
              <w:rPr>
                <w:color w:val="000000"/>
                <w:sz w:val="24"/>
              </w:rPr>
              <w:t>(2019</w:t>
            </w:r>
            <w:r w:rsidRPr="006506EF">
              <w:rPr>
                <w:color w:val="000000"/>
                <w:sz w:val="24"/>
              </w:rPr>
              <w:t>年</w:t>
            </w:r>
            <w:r w:rsidRPr="006506EF">
              <w:rPr>
                <w:color w:val="000000"/>
                <w:sz w:val="24"/>
              </w:rPr>
              <w:t>10</w:t>
            </w:r>
            <w:r w:rsidRPr="006506EF">
              <w:rPr>
                <w:color w:val="000000"/>
                <w:sz w:val="24"/>
              </w:rPr>
              <w:t>月</w:t>
            </w:r>
            <w:r w:rsidRPr="006506EF">
              <w:rPr>
                <w:color w:val="000000"/>
                <w:sz w:val="24"/>
              </w:rPr>
              <w:t>1</w:t>
            </w:r>
            <w:r w:rsidRPr="006506EF">
              <w:rPr>
                <w:color w:val="000000"/>
                <w:sz w:val="24"/>
              </w:rPr>
              <w:t>日</w:t>
            </w:r>
            <w:r w:rsidRPr="006506EF">
              <w:rPr>
                <w:color w:val="000000"/>
                <w:sz w:val="24"/>
              </w:rPr>
              <w:t>-2019</w:t>
            </w:r>
            <w:r w:rsidRPr="006506EF">
              <w:rPr>
                <w:color w:val="000000"/>
                <w:sz w:val="24"/>
              </w:rPr>
              <w:t>年</w:t>
            </w:r>
            <w:r w:rsidRPr="006506EF">
              <w:rPr>
                <w:color w:val="000000"/>
                <w:sz w:val="24"/>
              </w:rPr>
              <w:t>12</w:t>
            </w:r>
            <w:r w:rsidRPr="006506EF">
              <w:rPr>
                <w:color w:val="000000"/>
                <w:sz w:val="24"/>
              </w:rPr>
              <w:t>月</w:t>
            </w:r>
            <w:r w:rsidRPr="006506EF">
              <w:rPr>
                <w:color w:val="000000"/>
                <w:sz w:val="24"/>
              </w:rPr>
              <w:t>31</w:t>
            </w:r>
            <w:r w:rsidRPr="006506EF">
              <w:rPr>
                <w:color w:val="000000"/>
                <w:sz w:val="24"/>
              </w:rPr>
              <w:t>日</w:t>
            </w:r>
            <w:r w:rsidRPr="006506EF">
              <w:rPr>
                <w:color w:val="000000"/>
                <w:sz w:val="24"/>
              </w:rPr>
              <w:t>)</w:t>
            </w:r>
          </w:p>
        </w:tc>
        <w:tc>
          <w:tcPr>
            <w:tcW w:w="2410" w:type="dxa"/>
            <w:hMerge/>
          </w:tcPr>
          <w:p w:rsidR="00392044" w:rsidRPr="006506EF" w:rsidRDefault="00392044" w:rsidP="00C3442A">
            <w:pPr>
              <w:adjustRightInd w:val="0"/>
              <w:spacing w:before="29" w:line="360" w:lineRule="auto"/>
              <w:ind w:left="17"/>
              <w:jc w:val="center"/>
              <w:rPr>
                <w:color w:val="000000"/>
                <w:sz w:val="24"/>
              </w:rPr>
            </w:pPr>
            <w:r w:rsidRPr="006506EF">
              <w:rPr>
                <w:color w:val="000000"/>
                <w:sz w:val="24"/>
              </w:rPr>
              <w:t>上期金额</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1.</w:t>
            </w:r>
            <w:r w:rsidRPr="006506EF">
              <w:rPr>
                <w:kern w:val="0"/>
                <w:sz w:val="24"/>
              </w:rPr>
              <w:t>本期已实现收益</w:t>
            </w:r>
          </w:p>
        </w:tc>
        <w:tc>
          <w:tcPr>
            <w:tcW w:w="4962" w:type="dxa"/>
            <w:hMerge w:val="restart"/>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258,366,680.30</w:t>
            </w:r>
          </w:p>
        </w:tc>
        <w:tc>
          <w:tcPr>
            <w:tcW w:w="2410" w:type="dxa"/>
            <w:hMerge/>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2.</w:t>
            </w:r>
            <w:r w:rsidRPr="006506EF">
              <w:rPr>
                <w:kern w:val="0"/>
                <w:sz w:val="24"/>
              </w:rPr>
              <w:t>本期利润</w:t>
            </w:r>
          </w:p>
        </w:tc>
        <w:tc>
          <w:tcPr>
            <w:tcW w:w="4962" w:type="dxa"/>
            <w:hMerge w:val="restart"/>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449,742,686.42</w:t>
            </w:r>
          </w:p>
        </w:tc>
        <w:tc>
          <w:tcPr>
            <w:tcW w:w="2410" w:type="dxa"/>
            <w:hMerge/>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3.</w:t>
            </w:r>
            <w:r w:rsidRPr="006506EF">
              <w:rPr>
                <w:kern w:val="0"/>
                <w:sz w:val="24"/>
              </w:rPr>
              <w:t>加权平均基金份额本期利润</w:t>
            </w:r>
          </w:p>
        </w:tc>
        <w:tc>
          <w:tcPr>
            <w:tcW w:w="4962" w:type="dxa"/>
            <w:hMerge w:val="restart"/>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0.5235</w:t>
            </w:r>
          </w:p>
        </w:tc>
        <w:tc>
          <w:tcPr>
            <w:tcW w:w="2410" w:type="dxa"/>
            <w:hMerge/>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4.</w:t>
            </w:r>
            <w:r w:rsidRPr="006506EF">
              <w:rPr>
                <w:kern w:val="0"/>
                <w:sz w:val="24"/>
              </w:rPr>
              <w:t>期末基金资产净值</w:t>
            </w:r>
          </w:p>
        </w:tc>
        <w:tc>
          <w:tcPr>
            <w:tcW w:w="4962" w:type="dxa"/>
            <w:hMerge w:val="restart"/>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3,068,646,816.18</w:t>
            </w:r>
          </w:p>
        </w:tc>
        <w:tc>
          <w:tcPr>
            <w:tcW w:w="2410" w:type="dxa"/>
            <w:hMerge/>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rPr>
          <w:trHeight w:val="158"/>
        </w:trPr>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5.</w:t>
            </w:r>
            <w:r w:rsidRPr="006506EF">
              <w:rPr>
                <w:kern w:val="0"/>
                <w:sz w:val="24"/>
              </w:rPr>
              <w:t>期末基金份额净值</w:t>
            </w:r>
          </w:p>
        </w:tc>
        <w:tc>
          <w:tcPr>
            <w:tcW w:w="4962" w:type="dxa"/>
            <w:hMerge w:val="restart"/>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2.924</w:t>
            </w:r>
          </w:p>
        </w:tc>
        <w:tc>
          <w:tcPr>
            <w:tcW w:w="2410" w:type="dxa"/>
            <w:hMerge/>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bl>
    <w:p w:rsidR="00CC5D1F" w:rsidRDefault="00FA6BEC">
      <w:pPr>
        <w:spacing w:line="360" w:lineRule="auto"/>
        <w:ind w:firstLineChars="200" w:firstLine="480"/>
        <w:rPr>
          <w:color w:val="000000"/>
          <w:sz w:val="24"/>
          <w:szCs w:val="24"/>
        </w:rPr>
      </w:pPr>
      <w:r>
        <w:rPr>
          <w:color w:val="000000"/>
          <w:sz w:val="24"/>
        </w:rPr>
        <w:t>注：</w:t>
      </w:r>
      <w:r>
        <w:rPr>
          <w:color w:val="000000"/>
          <w:sz w:val="24"/>
        </w:rPr>
        <w:t>1.</w:t>
      </w:r>
      <w:r>
        <w:rPr>
          <w:color w:val="000000"/>
          <w:sz w:val="24"/>
        </w:rPr>
        <w:t>所述基金业绩指标不包括持有人认购或交易基金的各项费用，计入费用后实际收益水平要低于所列数字。</w:t>
      </w:r>
    </w:p>
    <w:p w:rsidR="00750D48" w:rsidRPr="00232B03" w:rsidRDefault="00392044" w:rsidP="00232B03">
      <w:pPr>
        <w:spacing w:line="360" w:lineRule="auto"/>
        <w:ind w:firstLineChars="200" w:firstLine="480"/>
        <w:rPr>
          <w:color w:val="000000"/>
          <w:sz w:val="24"/>
          <w:szCs w:val="24"/>
        </w:rPr>
      </w:pPr>
      <w:r w:rsidRPr="006506EF">
        <w:rPr>
          <w:color w:val="000000"/>
          <w:sz w:val="24"/>
        </w:rPr>
        <w:t>2.</w:t>
      </w:r>
      <w:r w:rsidRPr="006506EF">
        <w:rPr>
          <w:color w:val="000000"/>
          <w:sz w:val="24"/>
        </w:rPr>
        <w:t>本期已实现收益指基金本期利息收入、投资收益、其他收入（不含公允价值变动收益）扣除相关费用后的余额，本期利润为本期已实现收益加上本期公允价值变动收益。</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3.2 </w:t>
      </w:r>
      <w:r w:rsidRPr="00264E55">
        <w:rPr>
          <w:rFonts w:ascii="宋体" w:hAnsi="宋体" w:hint="eastAsia"/>
          <w:b/>
          <w:bCs/>
          <w:color w:val="000000"/>
          <w:kern w:val="0"/>
          <w:sz w:val="24"/>
          <w:szCs w:val="24"/>
        </w:rPr>
        <w:t>基金净值表现</w:t>
      </w:r>
    </w:p>
    <w:p w:rsidR="00750D48" w:rsidRPr="00264E55" w:rsidRDefault="00750D48" w:rsidP="009E7C6A">
      <w:pPr>
        <w:autoSpaceDE w:val="0"/>
        <w:autoSpaceDN w:val="0"/>
        <w:adjustRightInd w:val="0"/>
        <w:spacing w:line="360" w:lineRule="auto"/>
        <w:jc w:val="left"/>
        <w:rPr>
          <w:rFonts w:ascii="宋体" w:cs="宋体"/>
          <w:b/>
          <w:bCs/>
          <w:color w:val="000000"/>
          <w:kern w:val="0"/>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b/>
            <w:bCs/>
            <w:color w:val="000000"/>
            <w:kern w:val="0"/>
            <w:sz w:val="24"/>
            <w:szCs w:val="24"/>
          </w:rPr>
          <w:t>3.2.1</w:t>
        </w:r>
      </w:smartTag>
      <w:r w:rsidRPr="00264E55">
        <w:rPr>
          <w:rFonts w:ascii="宋体" w:hAnsi="宋体" w:cs="宋体" w:hint="eastAsia"/>
          <w:b/>
          <w:bCs/>
          <w:color w:val="000000"/>
          <w:kern w:val="0"/>
          <w:sz w:val="24"/>
          <w:szCs w:val="24"/>
        </w:rPr>
        <w:t>本报告期基金份额净值增长率及其与同期业绩比较基准收益率的比较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95"/>
        <w:gridCol w:w="1092"/>
        <w:gridCol w:w="1161"/>
        <w:gridCol w:w="1181"/>
        <w:gridCol w:w="1188"/>
        <w:gridCol w:w="1199"/>
        <w:gridCol w:w="1204"/>
      </w:tblGrid>
      <w:tr w:rsidR="00750D48" w:rsidRPr="00264E55" w:rsidTr="00B05049">
        <w:tc>
          <w:tcPr>
            <w:tcW w:w="1395"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阶段</w:t>
            </w:r>
          </w:p>
        </w:tc>
        <w:tc>
          <w:tcPr>
            <w:tcW w:w="1092"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净值增长率</w:t>
            </w:r>
            <w:r w:rsidRPr="00232B03">
              <w:rPr>
                <w:rFonts w:ascii="宋体" w:hAnsi="宋体" w:cs="宋体" w:hint="eastAsia"/>
                <w:color w:val="000000"/>
                <w:kern w:val="0"/>
                <w:sz w:val="24"/>
                <w:szCs w:val="24"/>
              </w:rPr>
              <w:t>①</w:t>
            </w:r>
          </w:p>
        </w:tc>
        <w:tc>
          <w:tcPr>
            <w:tcW w:w="1161"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净值增长率标准差</w:t>
            </w:r>
            <w:r w:rsidRPr="00232B03">
              <w:rPr>
                <w:rFonts w:ascii="宋体" w:hAnsi="宋体" w:cs="宋体" w:hint="eastAsia"/>
                <w:color w:val="000000"/>
                <w:kern w:val="0"/>
                <w:sz w:val="24"/>
                <w:szCs w:val="24"/>
              </w:rPr>
              <w:t>②</w:t>
            </w:r>
          </w:p>
        </w:tc>
        <w:tc>
          <w:tcPr>
            <w:tcW w:w="1181"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业绩比较基准收益率</w:t>
            </w:r>
            <w:r w:rsidRPr="00232B03">
              <w:rPr>
                <w:rFonts w:ascii="宋体" w:hAnsi="宋体" w:cs="宋体" w:hint="eastAsia"/>
                <w:color w:val="000000"/>
                <w:kern w:val="0"/>
                <w:sz w:val="24"/>
                <w:szCs w:val="24"/>
              </w:rPr>
              <w:t>③</w:t>
            </w:r>
          </w:p>
        </w:tc>
        <w:tc>
          <w:tcPr>
            <w:tcW w:w="1188"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业绩比较基准收益率标准差</w:t>
            </w:r>
            <w:r w:rsidRPr="00232B03">
              <w:rPr>
                <w:rFonts w:ascii="宋体" w:hAnsi="宋体" w:cs="宋体" w:hint="eastAsia"/>
                <w:color w:val="000000"/>
                <w:kern w:val="0"/>
                <w:sz w:val="24"/>
                <w:szCs w:val="24"/>
              </w:rPr>
              <w:t>④</w:t>
            </w:r>
          </w:p>
        </w:tc>
        <w:tc>
          <w:tcPr>
            <w:tcW w:w="1199"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rFonts w:ascii="宋体" w:hAnsi="宋体" w:cs="宋体" w:hint="eastAsia"/>
                <w:color w:val="000000"/>
                <w:kern w:val="0"/>
                <w:sz w:val="24"/>
                <w:szCs w:val="24"/>
              </w:rPr>
              <w:t>①</w:t>
            </w:r>
            <w:r w:rsidRPr="00232B03">
              <w:rPr>
                <w:color w:val="000000"/>
                <w:kern w:val="0"/>
                <w:sz w:val="24"/>
                <w:szCs w:val="24"/>
              </w:rPr>
              <w:t>-</w:t>
            </w:r>
            <w:r w:rsidRPr="00232B03">
              <w:rPr>
                <w:rFonts w:ascii="宋体" w:hAnsi="宋体" w:cs="宋体" w:hint="eastAsia"/>
                <w:color w:val="000000"/>
                <w:kern w:val="0"/>
                <w:sz w:val="24"/>
                <w:szCs w:val="24"/>
              </w:rPr>
              <w:t>③</w:t>
            </w:r>
          </w:p>
        </w:tc>
        <w:tc>
          <w:tcPr>
            <w:tcW w:w="1204"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rFonts w:ascii="宋体" w:hAnsi="宋体" w:cs="宋体" w:hint="eastAsia"/>
                <w:color w:val="000000"/>
                <w:kern w:val="0"/>
                <w:sz w:val="24"/>
                <w:szCs w:val="24"/>
              </w:rPr>
              <w:t>②</w:t>
            </w:r>
            <w:r w:rsidRPr="00232B03">
              <w:rPr>
                <w:color w:val="000000"/>
                <w:kern w:val="0"/>
                <w:sz w:val="24"/>
                <w:szCs w:val="24"/>
              </w:rPr>
              <w:t>-</w:t>
            </w:r>
            <w:r w:rsidRPr="00232B03">
              <w:rPr>
                <w:rFonts w:ascii="宋体" w:hAnsi="宋体" w:cs="宋体" w:hint="eastAsia"/>
                <w:color w:val="000000"/>
                <w:kern w:val="0"/>
                <w:sz w:val="24"/>
                <w:szCs w:val="24"/>
              </w:rPr>
              <w:t>④</w:t>
            </w:r>
          </w:p>
        </w:tc>
      </w:tr>
      <w:tr w:rsidR="00CC5D1F">
        <w:tc>
          <w:tcPr>
            <w:tcW w:w="0" w:type="auto"/>
            <w:vAlign w:val="center"/>
          </w:tcPr>
          <w:p w:rsidR="00CC5D1F" w:rsidRDefault="00FA6BEC">
            <w:pPr>
              <w:jc w:val="left"/>
            </w:pPr>
            <w:r>
              <w:rPr>
                <w:color w:val="000000"/>
                <w:kern w:val="0"/>
                <w:sz w:val="24"/>
                <w:szCs w:val="24"/>
              </w:rPr>
              <w:t>过去三个月</w:t>
            </w:r>
          </w:p>
        </w:tc>
        <w:tc>
          <w:tcPr>
            <w:tcW w:w="0" w:type="auto"/>
            <w:vAlign w:val="center"/>
          </w:tcPr>
          <w:p w:rsidR="00CC5D1F" w:rsidRDefault="00FA6BEC">
            <w:pPr>
              <w:jc w:val="center"/>
            </w:pPr>
            <w:r>
              <w:rPr>
                <w:color w:val="000000"/>
                <w:kern w:val="0"/>
                <w:sz w:val="24"/>
                <w:szCs w:val="24"/>
              </w:rPr>
              <w:t>21.43%</w:t>
            </w:r>
          </w:p>
        </w:tc>
        <w:tc>
          <w:tcPr>
            <w:tcW w:w="0" w:type="auto"/>
            <w:vAlign w:val="center"/>
          </w:tcPr>
          <w:p w:rsidR="00CC5D1F" w:rsidRDefault="00FA6BEC">
            <w:pPr>
              <w:jc w:val="center"/>
            </w:pPr>
            <w:r>
              <w:rPr>
                <w:color w:val="000000"/>
                <w:kern w:val="0"/>
                <w:sz w:val="24"/>
                <w:szCs w:val="24"/>
              </w:rPr>
              <w:t>1.43%</w:t>
            </w:r>
          </w:p>
        </w:tc>
        <w:tc>
          <w:tcPr>
            <w:tcW w:w="0" w:type="auto"/>
            <w:vAlign w:val="center"/>
          </w:tcPr>
          <w:p w:rsidR="00CC5D1F" w:rsidRDefault="00FA6BEC">
            <w:pPr>
              <w:jc w:val="center"/>
            </w:pPr>
            <w:r>
              <w:rPr>
                <w:color w:val="000000"/>
                <w:kern w:val="0"/>
                <w:sz w:val="24"/>
                <w:szCs w:val="24"/>
              </w:rPr>
              <w:t>5.97%</w:t>
            </w:r>
          </w:p>
        </w:tc>
        <w:tc>
          <w:tcPr>
            <w:tcW w:w="0" w:type="auto"/>
            <w:vAlign w:val="center"/>
          </w:tcPr>
          <w:p w:rsidR="00CC5D1F" w:rsidRDefault="00FA6BEC">
            <w:pPr>
              <w:jc w:val="center"/>
            </w:pPr>
            <w:r>
              <w:rPr>
                <w:color w:val="000000"/>
                <w:kern w:val="0"/>
                <w:sz w:val="24"/>
                <w:szCs w:val="24"/>
              </w:rPr>
              <w:t>0.48%</w:t>
            </w:r>
          </w:p>
        </w:tc>
        <w:tc>
          <w:tcPr>
            <w:tcW w:w="0" w:type="auto"/>
            <w:vAlign w:val="center"/>
          </w:tcPr>
          <w:p w:rsidR="00CC5D1F" w:rsidRDefault="00FA6BEC">
            <w:pPr>
              <w:jc w:val="center"/>
            </w:pPr>
            <w:r>
              <w:rPr>
                <w:color w:val="000000"/>
                <w:kern w:val="0"/>
                <w:sz w:val="24"/>
                <w:szCs w:val="24"/>
              </w:rPr>
              <w:t>15.46%</w:t>
            </w:r>
          </w:p>
        </w:tc>
        <w:tc>
          <w:tcPr>
            <w:tcW w:w="0" w:type="auto"/>
            <w:vAlign w:val="center"/>
          </w:tcPr>
          <w:p w:rsidR="00CC5D1F" w:rsidRDefault="00FA6BEC">
            <w:pPr>
              <w:jc w:val="center"/>
            </w:pPr>
            <w:r>
              <w:rPr>
                <w:color w:val="000000"/>
                <w:kern w:val="0"/>
                <w:sz w:val="24"/>
                <w:szCs w:val="24"/>
              </w:rPr>
              <w:t>0.95%</w:t>
            </w:r>
          </w:p>
        </w:tc>
      </w:tr>
    </w:tbl>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b/>
            <w:bCs/>
            <w:color w:val="000000"/>
            <w:kern w:val="0"/>
            <w:sz w:val="24"/>
            <w:szCs w:val="24"/>
          </w:rPr>
          <w:t>3.2.2</w:t>
        </w:r>
        <w:r w:rsidR="00D87469" w:rsidRPr="00370BEA">
          <w:rPr>
            <w:rStyle w:val="afb"/>
            <w:rFonts w:hint="eastAsia"/>
            <w:color w:val="000000"/>
            <w:sz w:val="24"/>
            <w:shd w:val="clear" w:color="auto" w:fill="FFFFFF"/>
          </w:rPr>
          <w:t>自基金合同生效以来</w:t>
        </w:r>
      </w:smartTag>
      <w:r w:rsidRPr="00264E55">
        <w:rPr>
          <w:rFonts w:ascii="宋体" w:hAnsi="宋体" w:hint="eastAsia"/>
          <w:b/>
          <w:bCs/>
          <w:color w:val="000000"/>
          <w:kern w:val="0"/>
          <w:sz w:val="24"/>
          <w:szCs w:val="24"/>
        </w:rPr>
        <w:t>基金累计净值增长率变动及其与同期业绩比较基准收益率变动的比较</w:t>
      </w:r>
    </w:p>
    <w:p w:rsidR="00750D48" w:rsidRPr="0074694E" w:rsidRDefault="00750D48" w:rsidP="009E7C6A">
      <w:pPr>
        <w:spacing w:line="360" w:lineRule="auto"/>
        <w:jc w:val="center"/>
        <w:rPr>
          <w:color w:val="000000"/>
          <w:sz w:val="24"/>
          <w:szCs w:val="24"/>
        </w:rPr>
      </w:pPr>
      <w:r w:rsidRPr="0074694E">
        <w:rPr>
          <w:color w:val="000000"/>
          <w:sz w:val="24"/>
          <w:szCs w:val="24"/>
        </w:rPr>
        <w:t>易方达新兴成长灵活配置混合型证券投资基金</w:t>
      </w:r>
    </w:p>
    <w:p w:rsidR="00750D48" w:rsidRPr="0074694E" w:rsidRDefault="00750D48" w:rsidP="009E7C6A">
      <w:pPr>
        <w:pStyle w:val="a5"/>
        <w:snapToGrid w:val="0"/>
        <w:spacing w:line="360" w:lineRule="auto"/>
        <w:jc w:val="center"/>
        <w:rPr>
          <w:rFonts w:ascii="Times New Roman" w:hAnsi="Times New Roman"/>
          <w:color w:val="000000"/>
          <w:sz w:val="24"/>
          <w:szCs w:val="24"/>
        </w:rPr>
      </w:pPr>
      <w:r w:rsidRPr="0074694E">
        <w:rPr>
          <w:rFonts w:ascii="Times New Roman" w:hAnsi="Times New Roman"/>
          <w:color w:val="000000"/>
          <w:sz w:val="24"/>
          <w:szCs w:val="24"/>
        </w:rPr>
        <w:t>累计净值增长率与业绩比较基准收益率的历史走势对比图</w:t>
      </w:r>
    </w:p>
    <w:p w:rsidR="00750D48" w:rsidRPr="0074694E" w:rsidRDefault="005F7917" w:rsidP="009E7C6A">
      <w:pPr>
        <w:pStyle w:val="a5"/>
        <w:snapToGrid w:val="0"/>
        <w:spacing w:line="360" w:lineRule="auto"/>
        <w:ind w:firstLine="480"/>
        <w:jc w:val="center"/>
        <w:rPr>
          <w:rFonts w:ascii="Times New Roman" w:hAnsi="Times New Roman"/>
          <w:sz w:val="24"/>
          <w:szCs w:val="24"/>
        </w:rPr>
      </w:pPr>
      <w:r w:rsidRPr="0074694E">
        <w:rPr>
          <w:rFonts w:ascii="Times New Roman" w:hAnsi="Times New Roman"/>
          <w:sz w:val="24"/>
          <w:szCs w:val="24"/>
        </w:rPr>
        <w:t>（</w:t>
      </w:r>
      <w:r w:rsidRPr="0074694E">
        <w:rPr>
          <w:rFonts w:ascii="Times New Roman" w:hAnsi="Times New Roman"/>
          <w:sz w:val="24"/>
          <w:szCs w:val="24"/>
        </w:rPr>
        <w:t>2013</w:t>
      </w:r>
      <w:r w:rsidRPr="0074694E">
        <w:rPr>
          <w:rFonts w:ascii="Times New Roman" w:hAnsi="Times New Roman"/>
          <w:sz w:val="24"/>
          <w:szCs w:val="24"/>
        </w:rPr>
        <w:t>年</w:t>
      </w:r>
      <w:r w:rsidRPr="0074694E">
        <w:rPr>
          <w:rFonts w:ascii="Times New Roman" w:hAnsi="Times New Roman"/>
          <w:sz w:val="24"/>
          <w:szCs w:val="24"/>
        </w:rPr>
        <w:t>11</w:t>
      </w:r>
      <w:r w:rsidRPr="0074694E">
        <w:rPr>
          <w:rFonts w:ascii="Times New Roman" w:hAnsi="Times New Roman"/>
          <w:sz w:val="24"/>
          <w:szCs w:val="24"/>
        </w:rPr>
        <w:t>月</w:t>
      </w:r>
      <w:r w:rsidRPr="0074694E">
        <w:rPr>
          <w:rFonts w:ascii="Times New Roman" w:hAnsi="Times New Roman"/>
          <w:sz w:val="24"/>
          <w:szCs w:val="24"/>
        </w:rPr>
        <w:t>28</w:t>
      </w:r>
      <w:r w:rsidRPr="0074694E">
        <w:rPr>
          <w:rFonts w:ascii="Times New Roman" w:hAnsi="Times New Roman"/>
          <w:sz w:val="24"/>
          <w:szCs w:val="24"/>
        </w:rPr>
        <w:t>日至</w:t>
      </w:r>
      <w:r w:rsidRPr="0074694E">
        <w:rPr>
          <w:rFonts w:ascii="Times New Roman" w:hAnsi="Times New Roman"/>
          <w:sz w:val="24"/>
          <w:szCs w:val="24"/>
        </w:rPr>
        <w:t>2019</w:t>
      </w:r>
      <w:r w:rsidRPr="0074694E">
        <w:rPr>
          <w:rFonts w:ascii="Times New Roman" w:hAnsi="Times New Roman"/>
          <w:sz w:val="24"/>
          <w:szCs w:val="24"/>
        </w:rPr>
        <w:t>年</w:t>
      </w:r>
      <w:r w:rsidRPr="0074694E">
        <w:rPr>
          <w:rFonts w:ascii="Times New Roman" w:hAnsi="Times New Roman"/>
          <w:sz w:val="24"/>
          <w:szCs w:val="24"/>
        </w:rPr>
        <w:t>12</w:t>
      </w:r>
      <w:r w:rsidRPr="0074694E">
        <w:rPr>
          <w:rFonts w:ascii="Times New Roman" w:hAnsi="Times New Roman"/>
          <w:sz w:val="24"/>
          <w:szCs w:val="24"/>
        </w:rPr>
        <w:t>月</w:t>
      </w:r>
      <w:r w:rsidRPr="0074694E">
        <w:rPr>
          <w:rFonts w:ascii="Times New Roman" w:hAnsi="Times New Roman"/>
          <w:sz w:val="24"/>
          <w:szCs w:val="24"/>
        </w:rPr>
        <w:t>31</w:t>
      </w:r>
      <w:r w:rsidRPr="0074694E">
        <w:rPr>
          <w:rFonts w:ascii="Times New Roman" w:hAnsi="Times New Roman"/>
          <w:sz w:val="24"/>
          <w:szCs w:val="24"/>
        </w:rPr>
        <w:t>日）</w:t>
      </w:r>
    </w:p>
    <w:p w:rsidR="00750D48" w:rsidRPr="00264E55" w:rsidRDefault="00FA6BEC" w:rsidP="004061AC">
      <w:pPr>
        <w:pStyle w:val="a5"/>
        <w:snapToGrid w:val="0"/>
        <w:spacing w:before="120" w:line="360" w:lineRule="auto"/>
        <w:jc w:val="center"/>
        <w:rPr>
          <w:rFonts w:hAnsi="宋体"/>
          <w:color w:val="000000"/>
          <w:sz w:val="24"/>
          <w:szCs w:val="24"/>
        </w:rPr>
      </w:pPr>
      <w:r>
        <w:rPr>
          <w:rFonts w:hAnsi="宋体"/>
          <w:noProof/>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12.5pt;height:241.5pt;visibility:visible">
            <v:imagedata r:id="rId10" o:title=""/>
          </v:shape>
        </w:pic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注：自基金合同生效至报告期末，基金份额净值增长率为</w:t>
      </w:r>
      <w:r w:rsidRPr="006C56AA">
        <w:rPr>
          <w:color w:val="000000"/>
          <w:sz w:val="24"/>
          <w:szCs w:val="24"/>
        </w:rPr>
        <w:t>192.40%</w:t>
      </w:r>
      <w:r w:rsidRPr="006C56AA">
        <w:rPr>
          <w:color w:val="000000"/>
          <w:sz w:val="24"/>
          <w:szCs w:val="24"/>
        </w:rPr>
        <w:t>，同期业绩比较基准收益率为</w:t>
      </w:r>
      <w:r w:rsidRPr="006C56AA">
        <w:rPr>
          <w:color w:val="000000"/>
          <w:sz w:val="24"/>
          <w:szCs w:val="24"/>
        </w:rPr>
        <w:t>39.47%</w:t>
      </w:r>
      <w:r w:rsidRPr="006C56AA">
        <w:rPr>
          <w:color w:val="000000"/>
          <w:sz w:val="24"/>
          <w:szCs w:val="24"/>
        </w:rPr>
        <w:t>。</w:t>
      </w:r>
    </w:p>
    <w:p w:rsidR="00750D48" w:rsidRPr="00232B03" w:rsidRDefault="00750D48" w:rsidP="00693843">
      <w:pPr>
        <w:tabs>
          <w:tab w:val="left" w:pos="1800"/>
        </w:tabs>
        <w:spacing w:line="288" w:lineRule="auto"/>
        <w:rPr>
          <w:color w:val="000000"/>
          <w:sz w:val="24"/>
          <w:szCs w:val="24"/>
        </w:rPr>
      </w:pP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4  </w:t>
      </w:r>
      <w:r w:rsidRPr="00264E55">
        <w:rPr>
          <w:rFonts w:ascii="宋体" w:hAnsi="宋体" w:hint="eastAsia"/>
          <w:color w:val="000000"/>
          <w:kern w:val="0"/>
          <w:sz w:val="24"/>
          <w:szCs w:val="24"/>
        </w:rPr>
        <w:t>管理人报告</w:t>
      </w:r>
    </w:p>
    <w:p w:rsidR="004D28A3" w:rsidRPr="0078105B" w:rsidRDefault="00750D48" w:rsidP="004D28A3">
      <w:pPr>
        <w:autoSpaceDE w:val="0"/>
        <w:autoSpaceDN w:val="0"/>
        <w:adjustRightInd w:val="0"/>
        <w:spacing w:line="360" w:lineRule="auto"/>
        <w:jc w:val="left"/>
        <w:rPr>
          <w:rFonts w:ascii="宋体" w:cs="Arial"/>
          <w:b/>
          <w:color w:val="000000"/>
          <w:kern w:val="0"/>
          <w:sz w:val="24"/>
        </w:rPr>
      </w:pPr>
      <w:r w:rsidRPr="00264E55">
        <w:rPr>
          <w:rFonts w:ascii="宋体" w:hAnsi="宋体"/>
          <w:b/>
          <w:bCs/>
          <w:color w:val="000000"/>
          <w:kern w:val="0"/>
          <w:sz w:val="24"/>
          <w:szCs w:val="24"/>
        </w:rPr>
        <w:t xml:space="preserve">4.1 </w:t>
      </w:r>
      <w:r w:rsidRPr="00264E55">
        <w:rPr>
          <w:rFonts w:ascii="宋体" w:hAnsi="宋体" w:hint="eastAsia"/>
          <w:b/>
          <w:bCs/>
          <w:color w:val="000000"/>
          <w:kern w:val="0"/>
          <w:sz w:val="24"/>
          <w:szCs w:val="24"/>
        </w:rPr>
        <w:t>基金经理</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或基金经理小组</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835"/>
        <w:gridCol w:w="851"/>
        <w:gridCol w:w="850"/>
        <w:gridCol w:w="851"/>
        <w:gridCol w:w="2977"/>
      </w:tblGrid>
      <w:tr w:rsidR="004D28A3" w:rsidRPr="0078105B" w:rsidTr="003328D9">
        <w:trPr>
          <w:cantSplit/>
        </w:trPr>
        <w:tc>
          <w:tcPr>
            <w:tcW w:w="567"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姓名</w:t>
            </w:r>
          </w:p>
        </w:tc>
        <w:tc>
          <w:tcPr>
            <w:tcW w:w="2835"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职务</w:t>
            </w:r>
          </w:p>
        </w:tc>
        <w:tc>
          <w:tcPr>
            <w:tcW w:w="1701" w:type="dxa"/>
            <w:gridSpan w:val="2"/>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任本基金的基金经理期限</w:t>
            </w:r>
          </w:p>
        </w:tc>
        <w:tc>
          <w:tcPr>
            <w:tcW w:w="851"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证券从业年限</w:t>
            </w:r>
          </w:p>
        </w:tc>
        <w:tc>
          <w:tcPr>
            <w:tcW w:w="2977"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说明</w:t>
            </w:r>
          </w:p>
        </w:tc>
      </w:tr>
      <w:tr w:rsidR="004D28A3" w:rsidRPr="0078105B" w:rsidTr="003328D9">
        <w:trPr>
          <w:cantSplit/>
        </w:trPr>
        <w:tc>
          <w:tcPr>
            <w:tcW w:w="567"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2835" w:type="dxa"/>
            <w:vMerge/>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851" w:type="dxa"/>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任职日期</w:t>
            </w:r>
          </w:p>
        </w:tc>
        <w:tc>
          <w:tcPr>
            <w:tcW w:w="850" w:type="dxa"/>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离任日期</w:t>
            </w:r>
          </w:p>
        </w:tc>
        <w:tc>
          <w:tcPr>
            <w:tcW w:w="851"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2977"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r>
      <w:tr w:rsidR="00CC5D1F">
        <w:tc>
          <w:tcPr>
            <w:tcW w:w="0" w:type="auto"/>
            <w:vAlign w:val="center"/>
          </w:tcPr>
          <w:p w:rsidR="00CC5D1F" w:rsidRDefault="00FA6BEC">
            <w:pPr>
              <w:jc w:val="center"/>
            </w:pPr>
            <w:r>
              <w:rPr>
                <w:color w:val="000000"/>
                <w:sz w:val="24"/>
              </w:rPr>
              <w:t>刘武</w:t>
            </w:r>
          </w:p>
        </w:tc>
        <w:tc>
          <w:tcPr>
            <w:tcW w:w="0" w:type="auto"/>
            <w:vAlign w:val="center"/>
          </w:tcPr>
          <w:p w:rsidR="00CC5D1F" w:rsidRDefault="00FA6BEC">
            <w:pPr>
              <w:jc w:val="center"/>
            </w:pPr>
            <w:r>
              <w:rPr>
                <w:color w:val="000000"/>
                <w:sz w:val="24"/>
              </w:rPr>
              <w:t>本基金的基金经理、易方达科技创新混合型证券投资基金的基金经理</w:t>
            </w:r>
          </w:p>
        </w:tc>
        <w:tc>
          <w:tcPr>
            <w:tcW w:w="0" w:type="auto"/>
            <w:vAlign w:val="center"/>
          </w:tcPr>
          <w:p w:rsidR="00CC5D1F" w:rsidRDefault="00FA6BEC">
            <w:pPr>
              <w:jc w:val="center"/>
            </w:pPr>
            <w:r>
              <w:rPr>
                <w:color w:val="000000"/>
                <w:sz w:val="24"/>
              </w:rPr>
              <w:t>2018-12-12</w:t>
            </w:r>
          </w:p>
        </w:tc>
        <w:tc>
          <w:tcPr>
            <w:tcW w:w="0" w:type="auto"/>
            <w:vAlign w:val="center"/>
          </w:tcPr>
          <w:p w:rsidR="00CC5D1F" w:rsidRDefault="00FA6BEC">
            <w:pPr>
              <w:jc w:val="center"/>
            </w:pPr>
            <w:r>
              <w:rPr>
                <w:color w:val="000000"/>
                <w:sz w:val="24"/>
              </w:rPr>
              <w:t>-</w:t>
            </w:r>
          </w:p>
        </w:tc>
        <w:tc>
          <w:tcPr>
            <w:tcW w:w="0" w:type="auto"/>
            <w:vAlign w:val="center"/>
          </w:tcPr>
          <w:p w:rsidR="00CC5D1F" w:rsidRDefault="00FA6BEC">
            <w:pPr>
              <w:jc w:val="center"/>
            </w:pPr>
            <w:r>
              <w:rPr>
                <w:color w:val="000000"/>
                <w:sz w:val="24"/>
              </w:rPr>
              <w:t>5</w:t>
            </w:r>
            <w:r>
              <w:rPr>
                <w:color w:val="000000"/>
                <w:sz w:val="24"/>
              </w:rPr>
              <w:t>年</w:t>
            </w:r>
          </w:p>
        </w:tc>
        <w:tc>
          <w:tcPr>
            <w:tcW w:w="0" w:type="auto"/>
            <w:vAlign w:val="center"/>
          </w:tcPr>
          <w:p w:rsidR="00CC5D1F" w:rsidRDefault="00FA6BEC">
            <w:r>
              <w:rPr>
                <w:color w:val="000000"/>
                <w:sz w:val="24"/>
              </w:rPr>
              <w:t>硕士研究生，具有基金从业资格。曾任华夏基金管理有限公司投资研究部研究员，易方达基金管理有限公司行业研究员、投资经理。</w:t>
            </w:r>
          </w:p>
        </w:tc>
      </w:tr>
    </w:tbl>
    <w:p w:rsidR="00CC5D1F" w:rsidRDefault="00FA6BEC">
      <w:pPr>
        <w:spacing w:line="360" w:lineRule="auto"/>
        <w:ind w:firstLineChars="200" w:firstLine="480"/>
        <w:rPr>
          <w:color w:val="000000"/>
          <w:sz w:val="24"/>
          <w:szCs w:val="24"/>
        </w:rPr>
      </w:pPr>
      <w:r>
        <w:rPr>
          <w:color w:val="000000"/>
          <w:sz w:val="24"/>
          <w:szCs w:val="24"/>
        </w:rPr>
        <w:t>注：</w:t>
      </w:r>
      <w:r>
        <w:rPr>
          <w:color w:val="000000"/>
          <w:sz w:val="24"/>
          <w:szCs w:val="24"/>
        </w:rPr>
        <w:t>1.</w:t>
      </w:r>
      <w:r>
        <w:rPr>
          <w:color w:val="000000"/>
          <w:sz w:val="24"/>
          <w:szCs w:val="24"/>
        </w:rPr>
        <w:t>对基金的首任基金经理，其</w:t>
      </w:r>
      <w:r>
        <w:rPr>
          <w:color w:val="000000"/>
          <w:sz w:val="24"/>
          <w:szCs w:val="24"/>
        </w:rPr>
        <w:t>“</w:t>
      </w:r>
      <w:r>
        <w:rPr>
          <w:color w:val="000000"/>
          <w:sz w:val="24"/>
          <w:szCs w:val="24"/>
        </w:rPr>
        <w:t>任职日期</w:t>
      </w:r>
      <w:r>
        <w:rPr>
          <w:color w:val="000000"/>
          <w:sz w:val="24"/>
          <w:szCs w:val="24"/>
        </w:rPr>
        <w:t>”</w:t>
      </w:r>
      <w:r>
        <w:rPr>
          <w:color w:val="000000"/>
          <w:sz w:val="24"/>
          <w:szCs w:val="24"/>
        </w:rPr>
        <w:t>为基金合同生效日，</w:t>
      </w:r>
      <w:r>
        <w:rPr>
          <w:color w:val="000000"/>
          <w:sz w:val="24"/>
          <w:szCs w:val="24"/>
        </w:rPr>
        <w:t>“</w:t>
      </w:r>
      <w:r>
        <w:rPr>
          <w:color w:val="000000"/>
          <w:sz w:val="24"/>
          <w:szCs w:val="24"/>
        </w:rPr>
        <w:t>离任日期</w:t>
      </w:r>
      <w:r>
        <w:rPr>
          <w:color w:val="000000"/>
          <w:sz w:val="24"/>
          <w:szCs w:val="24"/>
        </w:rPr>
        <w:t>”</w:t>
      </w:r>
      <w:r>
        <w:rPr>
          <w:color w:val="000000"/>
          <w:sz w:val="24"/>
          <w:szCs w:val="24"/>
        </w:rPr>
        <w:t>为根据公司决定确定的解聘日期；对此后的非首任基金经理，</w:t>
      </w:r>
      <w:r>
        <w:rPr>
          <w:color w:val="000000"/>
          <w:sz w:val="24"/>
          <w:szCs w:val="24"/>
        </w:rPr>
        <w:t>“</w:t>
      </w:r>
      <w:r>
        <w:rPr>
          <w:color w:val="000000"/>
          <w:sz w:val="24"/>
          <w:szCs w:val="24"/>
        </w:rPr>
        <w:t>任职日期</w:t>
      </w:r>
      <w:r>
        <w:rPr>
          <w:color w:val="000000"/>
          <w:sz w:val="24"/>
          <w:szCs w:val="24"/>
        </w:rPr>
        <w:t>”</w:t>
      </w:r>
      <w:r>
        <w:rPr>
          <w:color w:val="000000"/>
          <w:sz w:val="24"/>
          <w:szCs w:val="24"/>
        </w:rPr>
        <w:t>和</w:t>
      </w:r>
      <w:r>
        <w:rPr>
          <w:color w:val="000000"/>
          <w:sz w:val="24"/>
          <w:szCs w:val="24"/>
        </w:rPr>
        <w:t>“</w:t>
      </w:r>
      <w:r>
        <w:rPr>
          <w:color w:val="000000"/>
          <w:sz w:val="24"/>
          <w:szCs w:val="24"/>
        </w:rPr>
        <w:t>离任日期</w:t>
      </w:r>
      <w:r>
        <w:rPr>
          <w:color w:val="000000"/>
          <w:sz w:val="24"/>
          <w:szCs w:val="24"/>
        </w:rPr>
        <w:t>”</w:t>
      </w:r>
      <w:r>
        <w:rPr>
          <w:color w:val="000000"/>
          <w:sz w:val="24"/>
          <w:szCs w:val="24"/>
        </w:rPr>
        <w:t>分别指根据公司决定确定的聘任日期和解聘日期。</w:t>
      </w:r>
    </w:p>
    <w:p w:rsidR="00750D48" w:rsidRPr="00232B03" w:rsidRDefault="004D28A3" w:rsidP="004D28A3">
      <w:pPr>
        <w:spacing w:line="360" w:lineRule="auto"/>
        <w:ind w:firstLineChars="200" w:firstLine="480"/>
        <w:rPr>
          <w:color w:val="000000"/>
          <w:sz w:val="24"/>
          <w:szCs w:val="24"/>
        </w:rPr>
      </w:pPr>
      <w:r w:rsidRPr="004D28A3">
        <w:rPr>
          <w:color w:val="000000"/>
          <w:sz w:val="24"/>
          <w:szCs w:val="24"/>
        </w:rPr>
        <w:t>2.</w:t>
      </w:r>
      <w:r w:rsidRPr="004D28A3">
        <w:rPr>
          <w:color w:val="000000"/>
          <w:sz w:val="24"/>
          <w:szCs w:val="24"/>
        </w:rPr>
        <w:t>证券从业的含义遵从《证券业从业人员资格管理办法》的相关规定。</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4.2 </w:t>
      </w:r>
      <w:r w:rsidRPr="00264E55">
        <w:rPr>
          <w:rFonts w:ascii="宋体" w:hAnsi="宋体" w:hint="eastAsia"/>
          <w:b/>
          <w:bCs/>
          <w:color w:val="000000"/>
          <w:kern w:val="0"/>
          <w:sz w:val="24"/>
          <w:szCs w:val="24"/>
        </w:rPr>
        <w:t>管理人对报告期内本基金运作遵规守信情况的说明</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4.3 </w:t>
      </w:r>
      <w:r w:rsidRPr="00264E55">
        <w:rPr>
          <w:rFonts w:ascii="宋体" w:hAnsi="宋体" w:hint="eastAsia"/>
          <w:b/>
          <w:bCs/>
          <w:color w:val="000000"/>
          <w:kern w:val="0"/>
          <w:sz w:val="24"/>
          <w:szCs w:val="24"/>
        </w:rPr>
        <w:t>公平交易专项说明</w:t>
      </w:r>
    </w:p>
    <w:p w:rsidR="00750D48" w:rsidRPr="00264E55" w:rsidRDefault="00750D48" w:rsidP="009E7C6A">
      <w:pPr>
        <w:spacing w:line="360" w:lineRule="auto"/>
        <w:rPr>
          <w:rFonts w:ascii="宋体"/>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color w:val="000000"/>
            <w:sz w:val="24"/>
            <w:szCs w:val="24"/>
          </w:rPr>
          <w:t>4.3.1</w:t>
        </w:r>
      </w:smartTag>
      <w:r w:rsidRPr="00264E55">
        <w:rPr>
          <w:rFonts w:ascii="宋体" w:hAnsi="宋体" w:hint="eastAsia"/>
          <w:color w:val="000000"/>
          <w:sz w:val="24"/>
          <w:szCs w:val="24"/>
        </w:rPr>
        <w:t>公平交易制度的执行情况</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w:t>
      </w:r>
      <w:r w:rsidRPr="006C56AA">
        <w:rPr>
          <w:color w:val="000000"/>
          <w:sz w:val="24"/>
          <w:szCs w:val="24"/>
        </w:rPr>
        <w:t>“</w:t>
      </w:r>
      <w:r w:rsidRPr="006C56AA">
        <w:rPr>
          <w:color w:val="000000"/>
          <w:sz w:val="24"/>
          <w:szCs w:val="24"/>
        </w:rPr>
        <w:t>时间优先、价格优先</w:t>
      </w:r>
      <w:r w:rsidRPr="006C56AA">
        <w:rPr>
          <w:color w:val="000000"/>
          <w:sz w:val="24"/>
          <w:szCs w:val="24"/>
        </w:rPr>
        <w:t>”</w:t>
      </w:r>
      <w:r w:rsidRPr="006C56AA">
        <w:rPr>
          <w:color w:val="000000"/>
          <w:sz w:val="24"/>
          <w:szCs w:val="24"/>
        </w:rPr>
        <w:t>作为执行指令的基本原则，通过投资交易系统中的公平交易模块，以尽可能确保公平对待各投资组合。本报告期内，公平交易制度总体执行情况良好。</w:t>
      </w:r>
    </w:p>
    <w:p w:rsidR="00750D48" w:rsidRPr="00264E55" w:rsidRDefault="00750D48" w:rsidP="009E7C6A">
      <w:pPr>
        <w:spacing w:line="360" w:lineRule="auto"/>
        <w:rPr>
          <w:rFonts w:ascii="宋体"/>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color w:val="000000"/>
            <w:sz w:val="24"/>
            <w:szCs w:val="24"/>
          </w:rPr>
          <w:t>4.3.2</w:t>
        </w:r>
      </w:smartTag>
      <w:r w:rsidRPr="00264E55">
        <w:rPr>
          <w:rFonts w:ascii="宋体" w:hAnsi="宋体" w:hint="eastAsia"/>
          <w:color w:val="000000"/>
          <w:sz w:val="24"/>
          <w:szCs w:val="24"/>
        </w:rPr>
        <w:t>异常交易行为的专项说明</w:t>
      </w:r>
    </w:p>
    <w:p w:rsidR="00CC5D1F" w:rsidRDefault="00FA6BEC">
      <w:pPr>
        <w:spacing w:line="360" w:lineRule="auto"/>
        <w:ind w:firstLineChars="200" w:firstLine="480"/>
        <w:rPr>
          <w:color w:val="000000"/>
          <w:sz w:val="24"/>
          <w:szCs w:val="24"/>
        </w:rPr>
      </w:pPr>
      <w:r>
        <w:rPr>
          <w:color w:val="000000"/>
          <w:sz w:val="24"/>
          <w:szCs w:val="24"/>
        </w:rPr>
        <w:t>本报告期内，公司旗下所有投资组合参与的交易所公开竞价交易中，同日反向交易成交较少的单边交易量超过该证券当日成交量的</w:t>
      </w:r>
      <w:r>
        <w:rPr>
          <w:color w:val="000000"/>
          <w:sz w:val="24"/>
          <w:szCs w:val="24"/>
        </w:rPr>
        <w:t>5%</w:t>
      </w:r>
      <w:r>
        <w:rPr>
          <w:color w:val="000000"/>
          <w:sz w:val="24"/>
          <w:szCs w:val="24"/>
        </w:rPr>
        <w:t>的交易共</w:t>
      </w:r>
      <w:r>
        <w:rPr>
          <w:color w:val="000000"/>
          <w:sz w:val="24"/>
          <w:szCs w:val="24"/>
        </w:rPr>
        <w:t>28</w:t>
      </w:r>
      <w:r>
        <w:rPr>
          <w:color w:val="000000"/>
          <w:sz w:val="24"/>
          <w:szCs w:val="24"/>
        </w:rPr>
        <w:t>次，其中</w:t>
      </w:r>
      <w:r>
        <w:rPr>
          <w:color w:val="000000"/>
          <w:sz w:val="24"/>
          <w:szCs w:val="24"/>
        </w:rPr>
        <w:t>27</w:t>
      </w:r>
      <w:r>
        <w:rPr>
          <w:color w:val="000000"/>
          <w:sz w:val="24"/>
          <w:szCs w:val="24"/>
        </w:rPr>
        <w:t>次为指数量化投资组合因投资策略需要和其他组合发生的反向交易，</w:t>
      </w:r>
      <w:r>
        <w:rPr>
          <w:color w:val="000000"/>
          <w:sz w:val="24"/>
          <w:szCs w:val="24"/>
        </w:rPr>
        <w:t>1</w:t>
      </w:r>
      <w:r>
        <w:rPr>
          <w:color w:val="000000"/>
          <w:sz w:val="24"/>
          <w:szCs w:val="24"/>
        </w:rPr>
        <w:t>次为不同基金经理管理的基金因投资策略不同而发生的反向交易，有关基金经理按规定履行了审批程序。</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本报告期内，未发现本基金有可能导致不公平交易和利益输送的异常交易。</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4.4 </w:t>
      </w:r>
      <w:r w:rsidRPr="00264E55">
        <w:rPr>
          <w:rFonts w:ascii="宋体" w:hAnsi="宋体" w:hint="eastAsia"/>
          <w:b/>
          <w:bCs/>
          <w:color w:val="000000"/>
          <w:kern w:val="0"/>
          <w:sz w:val="24"/>
          <w:szCs w:val="24"/>
        </w:rPr>
        <w:t>报告期内基金的投资策略和业绩表现说明</w:t>
      </w:r>
    </w:p>
    <w:p w:rsidR="00750D48" w:rsidRPr="00264E55" w:rsidRDefault="00750D48" w:rsidP="009E7C6A">
      <w:pPr>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cs="宋体"/>
            <w:sz w:val="24"/>
            <w:szCs w:val="24"/>
          </w:rPr>
          <w:t>4.4.1</w:t>
        </w:r>
      </w:smartTag>
      <w:r w:rsidRPr="00264E55">
        <w:rPr>
          <w:rFonts w:ascii="宋体" w:hAnsi="宋体" w:cs="宋体" w:hint="eastAsia"/>
          <w:sz w:val="24"/>
          <w:szCs w:val="24"/>
        </w:rPr>
        <w:t>报告期内基金投资策略和运作分析</w:t>
      </w:r>
    </w:p>
    <w:p w:rsidR="00CC5D1F" w:rsidRDefault="00FA6BEC">
      <w:pPr>
        <w:spacing w:line="360" w:lineRule="auto"/>
        <w:ind w:firstLineChars="200" w:firstLine="480"/>
        <w:rPr>
          <w:color w:val="000000"/>
          <w:sz w:val="24"/>
          <w:szCs w:val="24"/>
        </w:rPr>
      </w:pPr>
      <w:r>
        <w:rPr>
          <w:color w:val="000000"/>
          <w:sz w:val="24"/>
          <w:szCs w:val="24"/>
        </w:rPr>
        <w:t>2019</w:t>
      </w:r>
      <w:r>
        <w:rPr>
          <w:color w:val="000000"/>
          <w:sz w:val="24"/>
          <w:szCs w:val="24"/>
        </w:rPr>
        <w:t>年四季度国内国际经济景气度回升，流动性宽裕。国内方面，工业生产、工业企业利润均有所改善，中采制造业</w:t>
      </w:r>
      <w:r>
        <w:rPr>
          <w:color w:val="000000"/>
          <w:sz w:val="24"/>
          <w:szCs w:val="24"/>
        </w:rPr>
        <w:t>PMI</w:t>
      </w:r>
      <w:r>
        <w:rPr>
          <w:color w:val="000000"/>
          <w:sz w:val="24"/>
          <w:szCs w:val="24"/>
        </w:rPr>
        <w:t>指数有所回升，</w:t>
      </w:r>
      <w:r>
        <w:rPr>
          <w:color w:val="000000"/>
          <w:sz w:val="24"/>
          <w:szCs w:val="24"/>
        </w:rPr>
        <w:t>11</w:t>
      </w:r>
      <w:r>
        <w:rPr>
          <w:color w:val="000000"/>
          <w:sz w:val="24"/>
          <w:szCs w:val="24"/>
        </w:rPr>
        <w:t>月零售增速也有所回升。同时，人民银行降息降准，政策加码</w:t>
      </w:r>
      <w:r>
        <w:rPr>
          <w:color w:val="000000"/>
          <w:sz w:val="24"/>
          <w:szCs w:val="24"/>
        </w:rPr>
        <w:t xml:space="preserve">, </w:t>
      </w:r>
      <w:r>
        <w:rPr>
          <w:color w:val="000000"/>
          <w:sz w:val="24"/>
          <w:szCs w:val="24"/>
        </w:rPr>
        <w:t>流动性维持相对宽松。国际方面，全球制造业</w:t>
      </w:r>
      <w:r>
        <w:rPr>
          <w:color w:val="000000"/>
          <w:sz w:val="24"/>
          <w:szCs w:val="24"/>
        </w:rPr>
        <w:t>PMI</w:t>
      </w:r>
      <w:r>
        <w:rPr>
          <w:color w:val="000000"/>
          <w:sz w:val="24"/>
          <w:szCs w:val="24"/>
        </w:rPr>
        <w:t>触底回升，截至</w:t>
      </w:r>
      <w:r>
        <w:rPr>
          <w:color w:val="000000"/>
          <w:sz w:val="24"/>
          <w:szCs w:val="24"/>
        </w:rPr>
        <w:t>12</w:t>
      </w:r>
      <w:r>
        <w:rPr>
          <w:color w:val="000000"/>
          <w:sz w:val="24"/>
          <w:szCs w:val="24"/>
        </w:rPr>
        <w:t>月连续两个月维持在</w:t>
      </w:r>
      <w:r>
        <w:rPr>
          <w:color w:val="000000"/>
          <w:sz w:val="24"/>
          <w:szCs w:val="24"/>
        </w:rPr>
        <w:t>50</w:t>
      </w:r>
      <w:r>
        <w:rPr>
          <w:color w:val="000000"/>
          <w:sz w:val="24"/>
          <w:szCs w:val="24"/>
        </w:rPr>
        <w:t>荣枯线以上。美国劳动力市场继续稳健，投资偏弱但消费依然不错。美联储在</w:t>
      </w:r>
      <w:r>
        <w:rPr>
          <w:color w:val="000000"/>
          <w:sz w:val="24"/>
          <w:szCs w:val="24"/>
        </w:rPr>
        <w:t>7</w:t>
      </w:r>
      <w:r>
        <w:rPr>
          <w:color w:val="000000"/>
          <w:sz w:val="24"/>
          <w:szCs w:val="24"/>
        </w:rPr>
        <w:t>月降息后，</w:t>
      </w:r>
      <w:r>
        <w:rPr>
          <w:color w:val="000000"/>
          <w:sz w:val="24"/>
          <w:szCs w:val="24"/>
        </w:rPr>
        <w:t>9</w:t>
      </w:r>
      <w:r>
        <w:rPr>
          <w:color w:val="000000"/>
          <w:sz w:val="24"/>
          <w:szCs w:val="24"/>
        </w:rPr>
        <w:t>月和</w:t>
      </w:r>
      <w:r>
        <w:rPr>
          <w:color w:val="000000"/>
          <w:sz w:val="24"/>
          <w:szCs w:val="24"/>
        </w:rPr>
        <w:t>10</w:t>
      </w:r>
      <w:r>
        <w:rPr>
          <w:color w:val="000000"/>
          <w:sz w:val="24"/>
          <w:szCs w:val="24"/>
        </w:rPr>
        <w:t>月分别再度降息并扩表释放资金，结合欧央行</w:t>
      </w:r>
      <w:r>
        <w:rPr>
          <w:color w:val="000000"/>
          <w:sz w:val="24"/>
          <w:szCs w:val="24"/>
        </w:rPr>
        <w:t>11</w:t>
      </w:r>
      <w:r>
        <w:rPr>
          <w:color w:val="000000"/>
          <w:sz w:val="24"/>
          <w:szCs w:val="24"/>
        </w:rPr>
        <w:t>月重启</w:t>
      </w:r>
      <w:r>
        <w:rPr>
          <w:color w:val="000000"/>
          <w:sz w:val="24"/>
          <w:szCs w:val="24"/>
        </w:rPr>
        <w:t>QE</w:t>
      </w:r>
      <w:r>
        <w:rPr>
          <w:color w:val="000000"/>
          <w:sz w:val="24"/>
          <w:szCs w:val="24"/>
        </w:rPr>
        <w:t>，全球流动性相对宽裕。</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在此宏观经济背景下，我们判断市场整体风险不大，且存在一定的结构性机会，本基金四季度维持</w:t>
      </w:r>
      <w:r w:rsidRPr="006C56AA">
        <w:rPr>
          <w:color w:val="000000"/>
          <w:sz w:val="24"/>
          <w:szCs w:val="24"/>
        </w:rPr>
        <w:t>90%</w:t>
      </w:r>
      <w:r w:rsidRPr="006C56AA">
        <w:rPr>
          <w:color w:val="000000"/>
          <w:sz w:val="24"/>
          <w:szCs w:val="24"/>
        </w:rPr>
        <w:t>左右的较高仓位。行业配置上，首先，逐步减持前期涨幅过大、估值过高的半导体和电子标的；其次，新能源汽车行业景气度和市场预期均处于最低点，国内销量预期和政策预期都较低，欧美的政策支持力度和车企的投入力度超预期，展望</w:t>
      </w:r>
      <w:r w:rsidRPr="006C56AA">
        <w:rPr>
          <w:color w:val="000000"/>
          <w:sz w:val="24"/>
          <w:szCs w:val="24"/>
        </w:rPr>
        <w:t>2020</w:t>
      </w:r>
      <w:r w:rsidRPr="006C56AA">
        <w:rPr>
          <w:color w:val="000000"/>
          <w:sz w:val="24"/>
          <w:szCs w:val="24"/>
        </w:rPr>
        <w:t>年行业预计将有不错的增长，因此逐步加仓新能源汽车板块；最后，本基金也增加配置了估值便宜的传媒板块龙头个股。</w:t>
      </w:r>
    </w:p>
    <w:p w:rsidR="00750D48" w:rsidRPr="00264E55" w:rsidRDefault="00750D48" w:rsidP="009E7C6A">
      <w:pPr>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cs="宋体"/>
            <w:sz w:val="24"/>
            <w:szCs w:val="24"/>
          </w:rPr>
          <w:t>4.4.2</w:t>
        </w:r>
      </w:smartTag>
      <w:r w:rsidRPr="00264E55">
        <w:rPr>
          <w:rFonts w:ascii="宋体" w:hAnsi="宋体" w:cs="宋体" w:hint="eastAsia"/>
          <w:sz w:val="24"/>
          <w:szCs w:val="24"/>
        </w:rPr>
        <w:t>报告期内基金的业绩表现</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截至报告期末，本基金份额净值为</w:t>
      </w:r>
      <w:r w:rsidRPr="006C56AA">
        <w:rPr>
          <w:color w:val="000000"/>
          <w:sz w:val="24"/>
          <w:szCs w:val="24"/>
        </w:rPr>
        <w:t>2.924</w:t>
      </w:r>
      <w:r w:rsidRPr="006C56AA">
        <w:rPr>
          <w:color w:val="000000"/>
          <w:sz w:val="24"/>
          <w:szCs w:val="24"/>
        </w:rPr>
        <w:t>元，本报告期份额净值增长率为</w:t>
      </w:r>
      <w:r w:rsidRPr="006C56AA">
        <w:rPr>
          <w:color w:val="000000"/>
          <w:sz w:val="24"/>
          <w:szCs w:val="24"/>
        </w:rPr>
        <w:t>21.43%</w:t>
      </w:r>
      <w:r w:rsidRPr="006C56AA">
        <w:rPr>
          <w:color w:val="000000"/>
          <w:sz w:val="24"/>
          <w:szCs w:val="24"/>
        </w:rPr>
        <w:t>，同期业绩比较基准收益率为</w:t>
      </w:r>
      <w:r w:rsidRPr="006C56AA">
        <w:rPr>
          <w:color w:val="000000"/>
          <w:sz w:val="24"/>
          <w:szCs w:val="24"/>
        </w:rPr>
        <w:t>5.97%</w:t>
      </w:r>
      <w:r w:rsidRPr="006C56AA">
        <w:rPr>
          <w:color w:val="000000"/>
          <w:sz w:val="24"/>
          <w:szCs w:val="24"/>
        </w:rPr>
        <w:t>。</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5  </w:t>
      </w:r>
      <w:r w:rsidRPr="00264E55">
        <w:rPr>
          <w:rFonts w:ascii="宋体" w:hAnsi="宋体" w:hint="eastAsia"/>
          <w:color w:val="000000"/>
          <w:kern w:val="0"/>
          <w:sz w:val="24"/>
          <w:szCs w:val="24"/>
        </w:rPr>
        <w:t>投资组合报告</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5.1 </w:t>
      </w:r>
      <w:r w:rsidRPr="00264E55">
        <w:rPr>
          <w:rFonts w:ascii="宋体" w:hAnsi="宋体" w:hint="eastAsia"/>
          <w:b/>
          <w:bCs/>
          <w:color w:val="000000"/>
          <w:kern w:val="0"/>
          <w:sz w:val="24"/>
          <w:szCs w:val="24"/>
        </w:rPr>
        <w:t>报告期末基金资产组合情况</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3357"/>
        <w:gridCol w:w="2977"/>
        <w:gridCol w:w="1843"/>
      </w:tblGrid>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3357"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项目</w:t>
            </w:r>
          </w:p>
        </w:tc>
        <w:tc>
          <w:tcPr>
            <w:tcW w:w="2977"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金额</w:t>
            </w:r>
            <w:r w:rsidR="005F7917" w:rsidRPr="00232B03">
              <w:rPr>
                <w:color w:val="000000"/>
                <w:kern w:val="0"/>
                <w:sz w:val="24"/>
                <w:szCs w:val="24"/>
              </w:rPr>
              <w:t>（元）</w:t>
            </w:r>
          </w:p>
        </w:tc>
        <w:tc>
          <w:tcPr>
            <w:tcW w:w="1843"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占基金总资产的比例</w:t>
            </w:r>
            <w:r w:rsidR="005F7917" w:rsidRPr="00232B03">
              <w:rPr>
                <w:color w:val="000000"/>
                <w:kern w:val="0"/>
                <w:sz w:val="24"/>
                <w:szCs w:val="24"/>
              </w:rPr>
              <w:t>（</w:t>
            </w:r>
            <w:r w:rsidR="005F7917" w:rsidRPr="00232B03">
              <w:rPr>
                <w:color w:val="000000"/>
                <w:kern w:val="0"/>
                <w:sz w:val="24"/>
                <w:szCs w:val="24"/>
              </w:rPr>
              <w:t>%</w:t>
            </w:r>
            <w:r w:rsidR="005F7917"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1</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权益投资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2,633,400,092.44</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84.25</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其中：股票</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2,633,400,092.44</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84.25</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2</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固定收益投资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其中：债券</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autoSpaceDE w:val="0"/>
              <w:autoSpaceDN w:val="0"/>
              <w:adjustRightInd w:val="0"/>
              <w:spacing w:before="29" w:line="360" w:lineRule="auto"/>
              <w:ind w:left="17"/>
              <w:jc w:val="left"/>
              <w:rPr>
                <w:color w:val="000000"/>
                <w:kern w:val="0"/>
                <w:sz w:val="24"/>
                <w:szCs w:val="24"/>
              </w:rPr>
            </w:pPr>
            <w:r w:rsidRPr="00232B03">
              <w:rPr>
                <w:color w:val="000000"/>
                <w:kern w:val="0"/>
                <w:sz w:val="24"/>
                <w:szCs w:val="24"/>
              </w:rPr>
              <w:t>资产支持证券</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3</w:t>
            </w:r>
          </w:p>
        </w:tc>
        <w:tc>
          <w:tcPr>
            <w:tcW w:w="3357" w:type="dxa"/>
          </w:tcPr>
          <w:p w:rsidR="00750D48" w:rsidRPr="00232B03" w:rsidRDefault="00750D48" w:rsidP="00EB572F">
            <w:pPr>
              <w:spacing w:before="29" w:line="360" w:lineRule="auto"/>
              <w:ind w:leftChars="50" w:left="105"/>
              <w:rPr>
                <w:color w:val="000000"/>
                <w:kern w:val="0"/>
                <w:sz w:val="24"/>
                <w:szCs w:val="24"/>
              </w:rPr>
            </w:pPr>
            <w:r w:rsidRPr="00232B03">
              <w:rPr>
                <w:color w:val="000000"/>
                <w:kern w:val="0"/>
                <w:sz w:val="24"/>
                <w:szCs w:val="24"/>
              </w:rPr>
              <w:t>贵金属投资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4</w:t>
            </w:r>
          </w:p>
        </w:tc>
        <w:tc>
          <w:tcPr>
            <w:tcW w:w="3357" w:type="dxa"/>
            <w:vAlign w:val="center"/>
          </w:tcPr>
          <w:p w:rsidR="00750D48" w:rsidRPr="00232B03" w:rsidRDefault="00750D48" w:rsidP="00B05049">
            <w:pPr>
              <w:spacing w:before="29" w:line="360" w:lineRule="auto"/>
              <w:ind w:left="17"/>
              <w:jc w:val="left"/>
              <w:rPr>
                <w:color w:val="000000"/>
                <w:kern w:val="0"/>
                <w:sz w:val="24"/>
                <w:szCs w:val="24"/>
              </w:rPr>
            </w:pPr>
            <w:r w:rsidRPr="00232B03">
              <w:rPr>
                <w:color w:val="000000"/>
                <w:kern w:val="0"/>
                <w:sz w:val="24"/>
                <w:szCs w:val="24"/>
              </w:rPr>
              <w:t>金融衍生品投资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5</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买入返售金融资产</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其中：买断式回购的买入返售金融资产</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6</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银行存款和结算备付金合计</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378,706,067.83</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12.12</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7</w:t>
            </w:r>
          </w:p>
        </w:tc>
        <w:tc>
          <w:tcPr>
            <w:tcW w:w="3357" w:type="dxa"/>
            <w:vAlign w:val="center"/>
          </w:tcPr>
          <w:p w:rsidR="00750D48" w:rsidRPr="00232B03" w:rsidRDefault="00750D48" w:rsidP="00B05049">
            <w:pPr>
              <w:jc w:val="left"/>
              <w:rPr>
                <w:kern w:val="0"/>
                <w:sz w:val="24"/>
                <w:szCs w:val="24"/>
              </w:rPr>
            </w:pPr>
            <w:r w:rsidRPr="00232B03">
              <w:rPr>
                <w:color w:val="000000"/>
                <w:kern w:val="0"/>
                <w:sz w:val="24"/>
                <w:szCs w:val="24"/>
              </w:rPr>
              <w:t>其他资产</w:t>
            </w:r>
          </w:p>
        </w:tc>
        <w:tc>
          <w:tcPr>
            <w:tcW w:w="2977"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113,733,877.44</w:t>
            </w:r>
          </w:p>
        </w:tc>
        <w:tc>
          <w:tcPr>
            <w:tcW w:w="1843"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3.64</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8</w:t>
            </w:r>
          </w:p>
        </w:tc>
        <w:tc>
          <w:tcPr>
            <w:tcW w:w="3357" w:type="dxa"/>
            <w:vAlign w:val="center"/>
          </w:tcPr>
          <w:p w:rsidR="00750D48" w:rsidRPr="00232B03" w:rsidRDefault="00750D48" w:rsidP="00B05049">
            <w:pPr>
              <w:jc w:val="left"/>
              <w:rPr>
                <w:kern w:val="0"/>
                <w:sz w:val="24"/>
                <w:szCs w:val="24"/>
              </w:rPr>
            </w:pPr>
            <w:r w:rsidRPr="00232B03">
              <w:rPr>
                <w:color w:val="000000"/>
                <w:kern w:val="0"/>
                <w:sz w:val="24"/>
                <w:szCs w:val="24"/>
              </w:rPr>
              <w:t>合计</w:t>
            </w:r>
          </w:p>
        </w:tc>
        <w:tc>
          <w:tcPr>
            <w:tcW w:w="2977"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3,125,840,037.71</w:t>
            </w:r>
          </w:p>
        </w:tc>
        <w:tc>
          <w:tcPr>
            <w:tcW w:w="1843"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100.00</w:t>
            </w:r>
          </w:p>
        </w:tc>
      </w:tr>
    </w:tbl>
    <w:p w:rsidR="008C2A4F" w:rsidRPr="00220C32" w:rsidRDefault="008C2A4F" w:rsidP="008C2A4F">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b/>
          <w:bCs/>
          <w:color w:val="000000" w:themeColor="text1"/>
          <w:kern w:val="0"/>
          <w:sz w:val="24"/>
          <w:szCs w:val="24"/>
        </w:rPr>
        <w:t xml:space="preserve">5.2 </w:t>
      </w:r>
      <w:r w:rsidRPr="00220C32">
        <w:rPr>
          <w:rFonts w:asciiTheme="minorEastAsia" w:eastAsiaTheme="minorEastAsia" w:hAnsiTheme="minorEastAsia" w:hint="eastAsia"/>
          <w:b/>
          <w:bCs/>
          <w:color w:val="000000" w:themeColor="text1"/>
          <w:kern w:val="0"/>
          <w:sz w:val="24"/>
          <w:szCs w:val="24"/>
        </w:rPr>
        <w:t>报告期末按行业分类的股票投资组合</w:t>
      </w:r>
    </w:p>
    <w:p w:rsidR="008C2A4F" w:rsidRPr="000D7474" w:rsidRDefault="008C2A4F" w:rsidP="008C2A4F">
      <w:pPr>
        <w:rPr>
          <w:rFonts w:asciiTheme="minorEastAsia" w:eastAsiaTheme="minorEastAsia" w:hAnsiTheme="minorEastAsia"/>
          <w:b/>
          <w:bCs/>
          <w:color w:val="000000" w:themeColor="text1"/>
          <w:kern w:val="0"/>
          <w:sz w:val="24"/>
          <w:szCs w:val="24"/>
        </w:rPr>
      </w:pPr>
      <w:r w:rsidRPr="000D7474">
        <w:rPr>
          <w:rFonts w:asciiTheme="minorEastAsia" w:eastAsiaTheme="minorEastAsia" w:hAnsiTheme="minorEastAsia" w:hint="eastAsia"/>
          <w:b/>
          <w:bCs/>
          <w:color w:val="000000" w:themeColor="text1"/>
          <w:kern w:val="0"/>
          <w:sz w:val="24"/>
          <w:szCs w:val="24"/>
        </w:rPr>
        <w:t>5.2.1报告期末按行业分类的境内股票投资组合</w:t>
      </w:r>
    </w:p>
    <w:tbl>
      <w:tblPr>
        <w:tblW w:w="878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09"/>
        <w:gridCol w:w="3544"/>
        <w:gridCol w:w="2977"/>
        <w:gridCol w:w="1559"/>
      </w:tblGrid>
      <w:tr w:rsidR="008C2A4F" w:rsidRPr="008C2A4F" w:rsidTr="00501495">
        <w:trPr>
          <w:trHeight w:val="390"/>
        </w:trPr>
        <w:tc>
          <w:tcPr>
            <w:tcW w:w="709" w:type="dxa"/>
            <w:tcBorders>
              <w:top w:val="single" w:sz="4" w:space="0" w:color="000000"/>
              <w:left w:val="single" w:sz="4" w:space="0" w:color="000000"/>
              <w:bottom w:val="single" w:sz="4" w:space="0" w:color="000000"/>
              <w:right w:val="single" w:sz="4" w:space="0" w:color="000000"/>
            </w:tcBorders>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行业类别</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公允价值（元）</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占基金资产净值比例（％）</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农、林、牧、渔业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autoSpaceDE w:val="0"/>
              <w:autoSpaceDN w:val="0"/>
              <w:adjustRightInd w:val="0"/>
              <w:spacing w:before="29" w:line="360" w:lineRule="auto"/>
              <w:ind w:left="15"/>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utoSpaceDE w:val="0"/>
              <w:autoSpaceDN w:val="0"/>
              <w:adjustRightInd w:val="0"/>
              <w:spacing w:before="29" w:line="360" w:lineRule="auto"/>
              <w:ind w:left="15"/>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采矿业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59,025,244.00</w:t>
            </w:r>
          </w:p>
          <w:p w:rsidR="008C2A4F" w:rsidRPr="008C2A4F" w:rsidRDefault="008C2A4F" w:rsidP="003328D9">
            <w:pPr>
              <w:jc w:val="right"/>
              <w:rPr>
                <w:rFonts w:eastAsiaTheme="minorEastAsia"/>
                <w:color w:val="000000" w:themeColor="text1"/>
                <w:kern w:val="0"/>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1.92</w:t>
            </w:r>
          </w:p>
          <w:p w:rsidR="008C2A4F" w:rsidRPr="008C2A4F" w:rsidRDefault="008C2A4F" w:rsidP="003328D9">
            <w:pPr>
              <w:jc w:val="right"/>
              <w:rPr>
                <w:rFonts w:eastAsiaTheme="minorEastAsia"/>
                <w:color w:val="000000" w:themeColor="text1"/>
                <w:kern w:val="0"/>
                <w:sz w:val="24"/>
                <w:szCs w:val="24"/>
              </w:rPr>
            </w:pP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制造业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1,503,245,137.30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48.99</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电力、热力、燃气及水生产和供应业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建筑业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批发和零售业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交通运输、仓储和邮政业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15,264,720.00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0.50</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住宿和餐饮业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信息传输、软件和信息技术服务业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768,372,006.61</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25.04</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金融业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6,549,005.78</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0.21</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房地产业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11,944,845.33</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0.39</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租赁和商务服务业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72,975,195.90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2.38</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科学研究和技术服务业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79,661,875.44</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2.60</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水利、环境和公共设施管理业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6,578.04</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0.00</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居民服务、修理和其他服务业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教育</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卫生和社会工作</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文化、体育和娱乐业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116,355,484.04</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3.79</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综合</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合计</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2,633,400,092.44</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85.82</w:t>
            </w:r>
          </w:p>
        </w:tc>
      </w:tr>
    </w:tbl>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5.3 </w:t>
      </w:r>
      <w:r w:rsidRPr="00264E55">
        <w:rPr>
          <w:rFonts w:ascii="宋体" w:hAnsi="宋体" w:hint="eastAsia"/>
          <w:b/>
          <w:bCs/>
          <w:color w:val="000000"/>
          <w:kern w:val="0"/>
          <w:sz w:val="24"/>
          <w:szCs w:val="24"/>
        </w:rPr>
        <w:t>报告期末按公允价值占基金资产净值比例大小排序的前十名股票投资明细</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276"/>
        <w:gridCol w:w="1418"/>
        <w:gridCol w:w="1701"/>
        <w:gridCol w:w="1984"/>
        <w:gridCol w:w="1559"/>
      </w:tblGrid>
      <w:tr w:rsidR="00750D48" w:rsidRPr="00264E55" w:rsidTr="00191BDE">
        <w:tc>
          <w:tcPr>
            <w:tcW w:w="851"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1276"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股票代码</w:t>
            </w:r>
          </w:p>
        </w:tc>
        <w:tc>
          <w:tcPr>
            <w:tcW w:w="1418"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股票名称</w:t>
            </w:r>
          </w:p>
        </w:tc>
        <w:tc>
          <w:tcPr>
            <w:tcW w:w="1701"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数量</w:t>
            </w:r>
            <w:r w:rsidR="005F7917" w:rsidRPr="00232B03">
              <w:rPr>
                <w:color w:val="000000"/>
                <w:kern w:val="0"/>
                <w:sz w:val="24"/>
                <w:szCs w:val="24"/>
              </w:rPr>
              <w:t>（股）</w:t>
            </w:r>
          </w:p>
        </w:tc>
        <w:tc>
          <w:tcPr>
            <w:tcW w:w="1984" w:type="dxa"/>
            <w:vAlign w:val="center"/>
          </w:tcPr>
          <w:p w:rsidR="00750D48" w:rsidRPr="00232B03" w:rsidRDefault="00750D48" w:rsidP="005F7917">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公允价值</w:t>
            </w:r>
            <w:r w:rsidR="005F7917" w:rsidRPr="00232B03">
              <w:rPr>
                <w:color w:val="000000"/>
                <w:kern w:val="0"/>
                <w:sz w:val="24"/>
                <w:szCs w:val="24"/>
              </w:rPr>
              <w:t>（元）</w:t>
            </w:r>
          </w:p>
        </w:tc>
        <w:tc>
          <w:tcPr>
            <w:tcW w:w="1559"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占基金资产净值比例</w:t>
            </w:r>
            <w:r w:rsidR="005F7917" w:rsidRPr="00232B03">
              <w:rPr>
                <w:color w:val="000000"/>
                <w:kern w:val="0"/>
                <w:sz w:val="24"/>
                <w:szCs w:val="24"/>
              </w:rPr>
              <w:t>（％）</w:t>
            </w:r>
          </w:p>
        </w:tc>
      </w:tr>
      <w:tr w:rsidR="00CC5D1F">
        <w:tc>
          <w:tcPr>
            <w:tcW w:w="0" w:type="auto"/>
            <w:vAlign w:val="center"/>
          </w:tcPr>
          <w:p w:rsidR="00CC5D1F" w:rsidRDefault="00FA6BEC">
            <w:pPr>
              <w:jc w:val="center"/>
            </w:pPr>
            <w:r>
              <w:rPr>
                <w:color w:val="000000"/>
                <w:kern w:val="0"/>
                <w:sz w:val="24"/>
                <w:szCs w:val="24"/>
              </w:rPr>
              <w:t>1</w:t>
            </w:r>
          </w:p>
        </w:tc>
        <w:tc>
          <w:tcPr>
            <w:tcW w:w="0" w:type="auto"/>
            <w:vAlign w:val="center"/>
          </w:tcPr>
          <w:p w:rsidR="00CC5D1F" w:rsidRDefault="00FA6BEC">
            <w:pPr>
              <w:jc w:val="center"/>
            </w:pPr>
            <w:r>
              <w:rPr>
                <w:color w:val="000000"/>
                <w:kern w:val="0"/>
                <w:sz w:val="24"/>
                <w:szCs w:val="24"/>
              </w:rPr>
              <w:t>300253</w:t>
            </w:r>
          </w:p>
        </w:tc>
        <w:tc>
          <w:tcPr>
            <w:tcW w:w="0" w:type="auto"/>
            <w:vAlign w:val="center"/>
          </w:tcPr>
          <w:p w:rsidR="00CC5D1F" w:rsidRDefault="00FA6BEC">
            <w:pPr>
              <w:jc w:val="center"/>
            </w:pPr>
            <w:r>
              <w:rPr>
                <w:color w:val="000000"/>
                <w:kern w:val="0"/>
                <w:sz w:val="24"/>
                <w:szCs w:val="24"/>
              </w:rPr>
              <w:t>卫宁健康</w:t>
            </w:r>
          </w:p>
        </w:tc>
        <w:tc>
          <w:tcPr>
            <w:tcW w:w="0" w:type="auto"/>
            <w:vAlign w:val="center"/>
          </w:tcPr>
          <w:p w:rsidR="00CC5D1F" w:rsidRDefault="00FA6BEC">
            <w:pPr>
              <w:jc w:val="right"/>
            </w:pPr>
            <w:r>
              <w:rPr>
                <w:color w:val="000000"/>
                <w:kern w:val="0"/>
                <w:sz w:val="24"/>
                <w:szCs w:val="24"/>
              </w:rPr>
              <w:t>12,997,000</w:t>
            </w:r>
          </w:p>
        </w:tc>
        <w:tc>
          <w:tcPr>
            <w:tcW w:w="0" w:type="auto"/>
            <w:vAlign w:val="center"/>
          </w:tcPr>
          <w:p w:rsidR="00CC5D1F" w:rsidRDefault="00FA6BEC">
            <w:pPr>
              <w:jc w:val="right"/>
            </w:pPr>
            <w:r>
              <w:rPr>
                <w:color w:val="000000"/>
                <w:kern w:val="0"/>
                <w:sz w:val="24"/>
                <w:szCs w:val="24"/>
              </w:rPr>
              <w:t>194,695,060.00</w:t>
            </w:r>
          </w:p>
        </w:tc>
        <w:tc>
          <w:tcPr>
            <w:tcW w:w="0" w:type="auto"/>
            <w:vAlign w:val="center"/>
          </w:tcPr>
          <w:p w:rsidR="00CC5D1F" w:rsidRDefault="00FA6BEC">
            <w:pPr>
              <w:jc w:val="right"/>
            </w:pPr>
            <w:r>
              <w:rPr>
                <w:color w:val="000000"/>
                <w:kern w:val="0"/>
                <w:sz w:val="24"/>
                <w:szCs w:val="24"/>
              </w:rPr>
              <w:t>6.34</w:t>
            </w:r>
          </w:p>
        </w:tc>
      </w:tr>
      <w:tr w:rsidR="00CC5D1F">
        <w:tc>
          <w:tcPr>
            <w:tcW w:w="0" w:type="auto"/>
            <w:vAlign w:val="center"/>
          </w:tcPr>
          <w:p w:rsidR="00CC5D1F" w:rsidRDefault="00FA6BEC">
            <w:pPr>
              <w:jc w:val="center"/>
            </w:pPr>
            <w:r>
              <w:rPr>
                <w:color w:val="000000"/>
                <w:kern w:val="0"/>
                <w:sz w:val="24"/>
                <w:szCs w:val="24"/>
              </w:rPr>
              <w:t>2</w:t>
            </w:r>
          </w:p>
        </w:tc>
        <w:tc>
          <w:tcPr>
            <w:tcW w:w="0" w:type="auto"/>
            <w:vAlign w:val="center"/>
          </w:tcPr>
          <w:p w:rsidR="00CC5D1F" w:rsidRDefault="00FA6BEC">
            <w:pPr>
              <w:jc w:val="center"/>
            </w:pPr>
            <w:r>
              <w:rPr>
                <w:color w:val="000000"/>
                <w:kern w:val="0"/>
                <w:sz w:val="24"/>
                <w:szCs w:val="24"/>
              </w:rPr>
              <w:t>300207</w:t>
            </w:r>
          </w:p>
        </w:tc>
        <w:tc>
          <w:tcPr>
            <w:tcW w:w="0" w:type="auto"/>
            <w:vAlign w:val="center"/>
          </w:tcPr>
          <w:p w:rsidR="00CC5D1F" w:rsidRDefault="00FA6BEC">
            <w:pPr>
              <w:jc w:val="center"/>
            </w:pPr>
            <w:r>
              <w:rPr>
                <w:color w:val="000000"/>
                <w:kern w:val="0"/>
                <w:sz w:val="24"/>
                <w:szCs w:val="24"/>
              </w:rPr>
              <w:t>欣旺达</w:t>
            </w:r>
          </w:p>
        </w:tc>
        <w:tc>
          <w:tcPr>
            <w:tcW w:w="0" w:type="auto"/>
            <w:vAlign w:val="center"/>
          </w:tcPr>
          <w:p w:rsidR="00CC5D1F" w:rsidRDefault="00FA6BEC">
            <w:pPr>
              <w:jc w:val="right"/>
            </w:pPr>
            <w:r>
              <w:rPr>
                <w:color w:val="000000"/>
                <w:kern w:val="0"/>
                <w:sz w:val="24"/>
                <w:szCs w:val="24"/>
              </w:rPr>
              <w:t>9,950,245</w:t>
            </w:r>
          </w:p>
        </w:tc>
        <w:tc>
          <w:tcPr>
            <w:tcW w:w="0" w:type="auto"/>
            <w:vAlign w:val="center"/>
          </w:tcPr>
          <w:p w:rsidR="00CC5D1F" w:rsidRDefault="00FA6BEC">
            <w:pPr>
              <w:jc w:val="right"/>
            </w:pPr>
            <w:r>
              <w:rPr>
                <w:color w:val="000000"/>
                <w:kern w:val="0"/>
                <w:sz w:val="24"/>
                <w:szCs w:val="24"/>
              </w:rPr>
              <w:t>194,228,782.40</w:t>
            </w:r>
          </w:p>
        </w:tc>
        <w:tc>
          <w:tcPr>
            <w:tcW w:w="0" w:type="auto"/>
            <w:vAlign w:val="center"/>
          </w:tcPr>
          <w:p w:rsidR="00CC5D1F" w:rsidRDefault="00FA6BEC">
            <w:pPr>
              <w:jc w:val="right"/>
            </w:pPr>
            <w:r>
              <w:rPr>
                <w:color w:val="000000"/>
                <w:kern w:val="0"/>
                <w:sz w:val="24"/>
                <w:szCs w:val="24"/>
              </w:rPr>
              <w:t>6.33</w:t>
            </w:r>
          </w:p>
        </w:tc>
      </w:tr>
      <w:tr w:rsidR="00CC5D1F">
        <w:tc>
          <w:tcPr>
            <w:tcW w:w="0" w:type="auto"/>
            <w:vAlign w:val="center"/>
          </w:tcPr>
          <w:p w:rsidR="00CC5D1F" w:rsidRDefault="00FA6BEC">
            <w:pPr>
              <w:jc w:val="center"/>
            </w:pPr>
            <w:r>
              <w:rPr>
                <w:color w:val="000000"/>
                <w:kern w:val="0"/>
                <w:sz w:val="24"/>
                <w:szCs w:val="24"/>
              </w:rPr>
              <w:t>3</w:t>
            </w:r>
          </w:p>
        </w:tc>
        <w:tc>
          <w:tcPr>
            <w:tcW w:w="0" w:type="auto"/>
            <w:vAlign w:val="center"/>
          </w:tcPr>
          <w:p w:rsidR="00CC5D1F" w:rsidRDefault="00FA6BEC">
            <w:pPr>
              <w:jc w:val="center"/>
            </w:pPr>
            <w:r>
              <w:rPr>
                <w:color w:val="000000"/>
                <w:kern w:val="0"/>
                <w:sz w:val="24"/>
                <w:szCs w:val="24"/>
              </w:rPr>
              <w:t>300496</w:t>
            </w:r>
          </w:p>
        </w:tc>
        <w:tc>
          <w:tcPr>
            <w:tcW w:w="0" w:type="auto"/>
            <w:vAlign w:val="center"/>
          </w:tcPr>
          <w:p w:rsidR="00CC5D1F" w:rsidRDefault="00FA6BEC">
            <w:pPr>
              <w:jc w:val="center"/>
            </w:pPr>
            <w:r>
              <w:rPr>
                <w:color w:val="000000"/>
                <w:kern w:val="0"/>
                <w:sz w:val="24"/>
                <w:szCs w:val="24"/>
              </w:rPr>
              <w:t>中科创达</w:t>
            </w:r>
          </w:p>
        </w:tc>
        <w:tc>
          <w:tcPr>
            <w:tcW w:w="0" w:type="auto"/>
            <w:vAlign w:val="center"/>
          </w:tcPr>
          <w:p w:rsidR="00CC5D1F" w:rsidRDefault="00FA6BEC">
            <w:pPr>
              <w:jc w:val="right"/>
            </w:pPr>
            <w:r>
              <w:rPr>
                <w:color w:val="000000"/>
                <w:kern w:val="0"/>
                <w:sz w:val="24"/>
                <w:szCs w:val="24"/>
              </w:rPr>
              <w:t>4,243,106</w:t>
            </w:r>
          </w:p>
        </w:tc>
        <w:tc>
          <w:tcPr>
            <w:tcW w:w="0" w:type="auto"/>
            <w:vAlign w:val="center"/>
          </w:tcPr>
          <w:p w:rsidR="00CC5D1F" w:rsidRDefault="00FA6BEC">
            <w:pPr>
              <w:jc w:val="right"/>
            </w:pPr>
            <w:r>
              <w:rPr>
                <w:color w:val="000000"/>
                <w:kern w:val="0"/>
                <w:sz w:val="24"/>
                <w:szCs w:val="24"/>
              </w:rPr>
              <w:t>191,533,804.84</w:t>
            </w:r>
          </w:p>
        </w:tc>
        <w:tc>
          <w:tcPr>
            <w:tcW w:w="0" w:type="auto"/>
            <w:vAlign w:val="center"/>
          </w:tcPr>
          <w:p w:rsidR="00CC5D1F" w:rsidRDefault="00FA6BEC">
            <w:pPr>
              <w:jc w:val="right"/>
            </w:pPr>
            <w:r>
              <w:rPr>
                <w:color w:val="000000"/>
                <w:kern w:val="0"/>
                <w:sz w:val="24"/>
                <w:szCs w:val="24"/>
              </w:rPr>
              <w:t>6.24</w:t>
            </w:r>
          </w:p>
        </w:tc>
      </w:tr>
      <w:tr w:rsidR="00CC5D1F">
        <w:tc>
          <w:tcPr>
            <w:tcW w:w="0" w:type="auto"/>
            <w:vAlign w:val="center"/>
          </w:tcPr>
          <w:p w:rsidR="00CC5D1F" w:rsidRDefault="00FA6BEC">
            <w:pPr>
              <w:jc w:val="center"/>
            </w:pPr>
            <w:r>
              <w:rPr>
                <w:color w:val="000000"/>
                <w:kern w:val="0"/>
                <w:sz w:val="24"/>
                <w:szCs w:val="24"/>
              </w:rPr>
              <w:t>4</w:t>
            </w:r>
          </w:p>
        </w:tc>
        <w:tc>
          <w:tcPr>
            <w:tcW w:w="0" w:type="auto"/>
            <w:vAlign w:val="center"/>
          </w:tcPr>
          <w:p w:rsidR="00CC5D1F" w:rsidRDefault="00FA6BEC">
            <w:pPr>
              <w:jc w:val="center"/>
            </w:pPr>
            <w:r>
              <w:rPr>
                <w:color w:val="000000"/>
                <w:kern w:val="0"/>
                <w:sz w:val="24"/>
                <w:szCs w:val="24"/>
              </w:rPr>
              <w:t>603799</w:t>
            </w:r>
          </w:p>
        </w:tc>
        <w:tc>
          <w:tcPr>
            <w:tcW w:w="0" w:type="auto"/>
            <w:vAlign w:val="center"/>
          </w:tcPr>
          <w:p w:rsidR="00CC5D1F" w:rsidRDefault="00FA6BEC">
            <w:pPr>
              <w:jc w:val="center"/>
            </w:pPr>
            <w:r>
              <w:rPr>
                <w:color w:val="000000"/>
                <w:kern w:val="0"/>
                <w:sz w:val="24"/>
                <w:szCs w:val="24"/>
              </w:rPr>
              <w:t>华友钴业</w:t>
            </w:r>
          </w:p>
        </w:tc>
        <w:tc>
          <w:tcPr>
            <w:tcW w:w="0" w:type="auto"/>
            <w:vAlign w:val="center"/>
          </w:tcPr>
          <w:p w:rsidR="00CC5D1F" w:rsidRDefault="00FA6BEC">
            <w:pPr>
              <w:jc w:val="right"/>
            </w:pPr>
            <w:r>
              <w:rPr>
                <w:color w:val="000000"/>
                <w:kern w:val="0"/>
                <w:sz w:val="24"/>
                <w:szCs w:val="24"/>
              </w:rPr>
              <w:t>4,133,649</w:t>
            </w:r>
          </w:p>
        </w:tc>
        <w:tc>
          <w:tcPr>
            <w:tcW w:w="0" w:type="auto"/>
            <w:vAlign w:val="center"/>
          </w:tcPr>
          <w:p w:rsidR="00CC5D1F" w:rsidRDefault="00FA6BEC">
            <w:pPr>
              <w:jc w:val="right"/>
            </w:pPr>
            <w:r>
              <w:rPr>
                <w:color w:val="000000"/>
                <w:kern w:val="0"/>
                <w:sz w:val="24"/>
                <w:szCs w:val="24"/>
              </w:rPr>
              <w:t>162,824,434.11</w:t>
            </w:r>
          </w:p>
        </w:tc>
        <w:tc>
          <w:tcPr>
            <w:tcW w:w="0" w:type="auto"/>
            <w:vAlign w:val="center"/>
          </w:tcPr>
          <w:p w:rsidR="00CC5D1F" w:rsidRDefault="00FA6BEC">
            <w:pPr>
              <w:jc w:val="right"/>
            </w:pPr>
            <w:r>
              <w:rPr>
                <w:color w:val="000000"/>
                <w:kern w:val="0"/>
                <w:sz w:val="24"/>
                <w:szCs w:val="24"/>
              </w:rPr>
              <w:t>5.31</w:t>
            </w:r>
          </w:p>
        </w:tc>
      </w:tr>
      <w:tr w:rsidR="00CC5D1F">
        <w:tc>
          <w:tcPr>
            <w:tcW w:w="0" w:type="auto"/>
            <w:vAlign w:val="center"/>
          </w:tcPr>
          <w:p w:rsidR="00CC5D1F" w:rsidRDefault="00FA6BEC">
            <w:pPr>
              <w:jc w:val="center"/>
            </w:pPr>
            <w:r>
              <w:rPr>
                <w:color w:val="000000"/>
                <w:kern w:val="0"/>
                <w:sz w:val="24"/>
                <w:szCs w:val="24"/>
              </w:rPr>
              <w:t>5</w:t>
            </w:r>
          </w:p>
        </w:tc>
        <w:tc>
          <w:tcPr>
            <w:tcW w:w="0" w:type="auto"/>
            <w:vAlign w:val="center"/>
          </w:tcPr>
          <w:p w:rsidR="00CC5D1F" w:rsidRDefault="00FA6BEC">
            <w:pPr>
              <w:jc w:val="center"/>
            </w:pPr>
            <w:r>
              <w:rPr>
                <w:color w:val="000000"/>
                <w:kern w:val="0"/>
                <w:sz w:val="24"/>
                <w:szCs w:val="24"/>
              </w:rPr>
              <w:t>300136</w:t>
            </w:r>
          </w:p>
        </w:tc>
        <w:tc>
          <w:tcPr>
            <w:tcW w:w="0" w:type="auto"/>
            <w:vAlign w:val="center"/>
          </w:tcPr>
          <w:p w:rsidR="00CC5D1F" w:rsidRDefault="00FA6BEC">
            <w:pPr>
              <w:jc w:val="center"/>
            </w:pPr>
            <w:r>
              <w:rPr>
                <w:color w:val="000000"/>
                <w:kern w:val="0"/>
                <w:sz w:val="24"/>
                <w:szCs w:val="24"/>
              </w:rPr>
              <w:t>信维通信</w:t>
            </w:r>
          </w:p>
        </w:tc>
        <w:tc>
          <w:tcPr>
            <w:tcW w:w="0" w:type="auto"/>
            <w:vAlign w:val="center"/>
          </w:tcPr>
          <w:p w:rsidR="00CC5D1F" w:rsidRDefault="00FA6BEC">
            <w:pPr>
              <w:jc w:val="right"/>
            </w:pPr>
            <w:r>
              <w:rPr>
                <w:color w:val="000000"/>
                <w:kern w:val="0"/>
                <w:sz w:val="24"/>
                <w:szCs w:val="24"/>
              </w:rPr>
              <w:t>3,344,122</w:t>
            </w:r>
          </w:p>
        </w:tc>
        <w:tc>
          <w:tcPr>
            <w:tcW w:w="0" w:type="auto"/>
            <w:vAlign w:val="center"/>
          </w:tcPr>
          <w:p w:rsidR="00CC5D1F" w:rsidRDefault="00FA6BEC">
            <w:pPr>
              <w:jc w:val="right"/>
            </w:pPr>
            <w:r>
              <w:rPr>
                <w:color w:val="000000"/>
                <w:kern w:val="0"/>
                <w:sz w:val="24"/>
                <w:szCs w:val="24"/>
              </w:rPr>
              <w:t>151,756,256.36</w:t>
            </w:r>
          </w:p>
        </w:tc>
        <w:tc>
          <w:tcPr>
            <w:tcW w:w="0" w:type="auto"/>
            <w:vAlign w:val="center"/>
          </w:tcPr>
          <w:p w:rsidR="00CC5D1F" w:rsidRDefault="00FA6BEC">
            <w:pPr>
              <w:jc w:val="right"/>
            </w:pPr>
            <w:r>
              <w:rPr>
                <w:color w:val="000000"/>
                <w:kern w:val="0"/>
                <w:sz w:val="24"/>
                <w:szCs w:val="24"/>
              </w:rPr>
              <w:t>4.95</w:t>
            </w:r>
          </w:p>
        </w:tc>
      </w:tr>
      <w:tr w:rsidR="00CC5D1F">
        <w:tc>
          <w:tcPr>
            <w:tcW w:w="0" w:type="auto"/>
            <w:vAlign w:val="center"/>
          </w:tcPr>
          <w:p w:rsidR="00CC5D1F" w:rsidRDefault="00FA6BEC">
            <w:pPr>
              <w:jc w:val="center"/>
            </w:pPr>
            <w:r>
              <w:rPr>
                <w:color w:val="000000"/>
                <w:kern w:val="0"/>
                <w:sz w:val="24"/>
                <w:szCs w:val="24"/>
              </w:rPr>
              <w:t>6</w:t>
            </w:r>
          </w:p>
        </w:tc>
        <w:tc>
          <w:tcPr>
            <w:tcW w:w="0" w:type="auto"/>
            <w:vAlign w:val="center"/>
          </w:tcPr>
          <w:p w:rsidR="00CC5D1F" w:rsidRDefault="00FA6BEC">
            <w:pPr>
              <w:jc w:val="center"/>
            </w:pPr>
            <w:r>
              <w:rPr>
                <w:color w:val="000000"/>
                <w:kern w:val="0"/>
                <w:sz w:val="24"/>
                <w:szCs w:val="24"/>
              </w:rPr>
              <w:t>002850</w:t>
            </w:r>
          </w:p>
        </w:tc>
        <w:tc>
          <w:tcPr>
            <w:tcW w:w="0" w:type="auto"/>
            <w:vAlign w:val="center"/>
          </w:tcPr>
          <w:p w:rsidR="00CC5D1F" w:rsidRDefault="00FA6BEC">
            <w:pPr>
              <w:jc w:val="center"/>
            </w:pPr>
            <w:r>
              <w:rPr>
                <w:color w:val="000000"/>
                <w:kern w:val="0"/>
                <w:sz w:val="24"/>
                <w:szCs w:val="24"/>
              </w:rPr>
              <w:t>科达利</w:t>
            </w:r>
          </w:p>
        </w:tc>
        <w:tc>
          <w:tcPr>
            <w:tcW w:w="0" w:type="auto"/>
            <w:vAlign w:val="center"/>
          </w:tcPr>
          <w:p w:rsidR="00CC5D1F" w:rsidRDefault="00FA6BEC">
            <w:pPr>
              <w:jc w:val="right"/>
            </w:pPr>
            <w:r>
              <w:rPr>
                <w:color w:val="000000"/>
                <w:kern w:val="0"/>
                <w:sz w:val="24"/>
                <w:szCs w:val="24"/>
              </w:rPr>
              <w:t>3,199,398</w:t>
            </w:r>
          </w:p>
        </w:tc>
        <w:tc>
          <w:tcPr>
            <w:tcW w:w="0" w:type="auto"/>
            <w:vAlign w:val="center"/>
          </w:tcPr>
          <w:p w:rsidR="00CC5D1F" w:rsidRDefault="00FA6BEC">
            <w:pPr>
              <w:jc w:val="right"/>
            </w:pPr>
            <w:r>
              <w:rPr>
                <w:color w:val="000000"/>
                <w:kern w:val="0"/>
                <w:sz w:val="24"/>
                <w:szCs w:val="24"/>
              </w:rPr>
              <w:t>145,572,609.00</w:t>
            </w:r>
          </w:p>
        </w:tc>
        <w:tc>
          <w:tcPr>
            <w:tcW w:w="0" w:type="auto"/>
            <w:vAlign w:val="center"/>
          </w:tcPr>
          <w:p w:rsidR="00CC5D1F" w:rsidRDefault="00FA6BEC">
            <w:pPr>
              <w:jc w:val="right"/>
            </w:pPr>
            <w:r>
              <w:rPr>
                <w:color w:val="000000"/>
                <w:kern w:val="0"/>
                <w:sz w:val="24"/>
                <w:szCs w:val="24"/>
              </w:rPr>
              <w:t>4.74</w:t>
            </w:r>
          </w:p>
        </w:tc>
      </w:tr>
      <w:tr w:rsidR="00CC5D1F">
        <w:tc>
          <w:tcPr>
            <w:tcW w:w="0" w:type="auto"/>
            <w:vAlign w:val="center"/>
          </w:tcPr>
          <w:p w:rsidR="00CC5D1F" w:rsidRDefault="00FA6BEC">
            <w:pPr>
              <w:jc w:val="center"/>
            </w:pPr>
            <w:r>
              <w:rPr>
                <w:color w:val="000000"/>
                <w:kern w:val="0"/>
                <w:sz w:val="24"/>
                <w:szCs w:val="24"/>
              </w:rPr>
              <w:t>7</w:t>
            </w:r>
          </w:p>
        </w:tc>
        <w:tc>
          <w:tcPr>
            <w:tcW w:w="0" w:type="auto"/>
            <w:vAlign w:val="center"/>
          </w:tcPr>
          <w:p w:rsidR="00CC5D1F" w:rsidRDefault="00FA6BEC">
            <w:pPr>
              <w:jc w:val="center"/>
            </w:pPr>
            <w:r>
              <w:rPr>
                <w:color w:val="000000"/>
                <w:kern w:val="0"/>
                <w:sz w:val="24"/>
                <w:szCs w:val="24"/>
              </w:rPr>
              <w:t>002384</w:t>
            </w:r>
          </w:p>
        </w:tc>
        <w:tc>
          <w:tcPr>
            <w:tcW w:w="0" w:type="auto"/>
            <w:vAlign w:val="center"/>
          </w:tcPr>
          <w:p w:rsidR="00CC5D1F" w:rsidRDefault="00FA6BEC">
            <w:pPr>
              <w:jc w:val="center"/>
            </w:pPr>
            <w:r>
              <w:rPr>
                <w:color w:val="000000"/>
                <w:kern w:val="0"/>
                <w:sz w:val="24"/>
                <w:szCs w:val="24"/>
              </w:rPr>
              <w:t>东山精密</w:t>
            </w:r>
          </w:p>
        </w:tc>
        <w:tc>
          <w:tcPr>
            <w:tcW w:w="0" w:type="auto"/>
            <w:vAlign w:val="center"/>
          </w:tcPr>
          <w:p w:rsidR="00CC5D1F" w:rsidRDefault="00FA6BEC">
            <w:pPr>
              <w:jc w:val="right"/>
            </w:pPr>
            <w:r>
              <w:rPr>
                <w:color w:val="000000"/>
                <w:kern w:val="0"/>
                <w:sz w:val="24"/>
                <w:szCs w:val="24"/>
              </w:rPr>
              <w:t>5,926,138</w:t>
            </w:r>
          </w:p>
        </w:tc>
        <w:tc>
          <w:tcPr>
            <w:tcW w:w="0" w:type="auto"/>
            <w:vAlign w:val="center"/>
          </w:tcPr>
          <w:p w:rsidR="00CC5D1F" w:rsidRDefault="00FA6BEC">
            <w:pPr>
              <w:jc w:val="right"/>
            </w:pPr>
            <w:r>
              <w:rPr>
                <w:color w:val="000000"/>
                <w:kern w:val="0"/>
                <w:sz w:val="24"/>
                <w:szCs w:val="24"/>
              </w:rPr>
              <w:t>137,190,094.70</w:t>
            </w:r>
          </w:p>
        </w:tc>
        <w:tc>
          <w:tcPr>
            <w:tcW w:w="0" w:type="auto"/>
            <w:vAlign w:val="center"/>
          </w:tcPr>
          <w:p w:rsidR="00CC5D1F" w:rsidRDefault="00FA6BEC">
            <w:pPr>
              <w:jc w:val="right"/>
            </w:pPr>
            <w:r>
              <w:rPr>
                <w:color w:val="000000"/>
                <w:kern w:val="0"/>
                <w:sz w:val="24"/>
                <w:szCs w:val="24"/>
              </w:rPr>
              <w:t>4.47</w:t>
            </w:r>
          </w:p>
        </w:tc>
      </w:tr>
      <w:tr w:rsidR="00CC5D1F">
        <w:tc>
          <w:tcPr>
            <w:tcW w:w="0" w:type="auto"/>
            <w:vAlign w:val="center"/>
          </w:tcPr>
          <w:p w:rsidR="00CC5D1F" w:rsidRDefault="00FA6BEC">
            <w:pPr>
              <w:jc w:val="center"/>
            </w:pPr>
            <w:r>
              <w:rPr>
                <w:color w:val="000000"/>
                <w:kern w:val="0"/>
                <w:sz w:val="24"/>
                <w:szCs w:val="24"/>
              </w:rPr>
              <w:t>8</w:t>
            </w:r>
          </w:p>
        </w:tc>
        <w:tc>
          <w:tcPr>
            <w:tcW w:w="0" w:type="auto"/>
            <w:vAlign w:val="center"/>
          </w:tcPr>
          <w:p w:rsidR="00CC5D1F" w:rsidRDefault="00FA6BEC">
            <w:pPr>
              <w:jc w:val="center"/>
            </w:pPr>
            <w:r>
              <w:rPr>
                <w:color w:val="000000"/>
                <w:kern w:val="0"/>
                <w:sz w:val="24"/>
                <w:szCs w:val="24"/>
              </w:rPr>
              <w:t>300618</w:t>
            </w:r>
          </w:p>
        </w:tc>
        <w:tc>
          <w:tcPr>
            <w:tcW w:w="0" w:type="auto"/>
            <w:vAlign w:val="center"/>
          </w:tcPr>
          <w:p w:rsidR="00CC5D1F" w:rsidRDefault="00FA6BEC">
            <w:pPr>
              <w:jc w:val="center"/>
            </w:pPr>
            <w:r>
              <w:rPr>
                <w:color w:val="000000"/>
                <w:kern w:val="0"/>
                <w:sz w:val="24"/>
                <w:szCs w:val="24"/>
              </w:rPr>
              <w:t>寒锐钴业</w:t>
            </w:r>
          </w:p>
        </w:tc>
        <w:tc>
          <w:tcPr>
            <w:tcW w:w="0" w:type="auto"/>
            <w:vAlign w:val="center"/>
          </w:tcPr>
          <w:p w:rsidR="00CC5D1F" w:rsidRDefault="00FA6BEC">
            <w:pPr>
              <w:jc w:val="right"/>
            </w:pPr>
            <w:r>
              <w:rPr>
                <w:color w:val="000000"/>
                <w:kern w:val="0"/>
                <w:sz w:val="24"/>
                <w:szCs w:val="24"/>
              </w:rPr>
              <w:t>1,572,201</w:t>
            </w:r>
          </w:p>
        </w:tc>
        <w:tc>
          <w:tcPr>
            <w:tcW w:w="0" w:type="auto"/>
            <w:vAlign w:val="center"/>
          </w:tcPr>
          <w:p w:rsidR="00CC5D1F" w:rsidRDefault="00FA6BEC">
            <w:pPr>
              <w:jc w:val="right"/>
            </w:pPr>
            <w:r>
              <w:rPr>
                <w:color w:val="000000"/>
                <w:kern w:val="0"/>
                <w:sz w:val="24"/>
                <w:szCs w:val="24"/>
              </w:rPr>
              <w:t>129,533,640.39</w:t>
            </w:r>
          </w:p>
        </w:tc>
        <w:tc>
          <w:tcPr>
            <w:tcW w:w="0" w:type="auto"/>
            <w:vAlign w:val="center"/>
          </w:tcPr>
          <w:p w:rsidR="00CC5D1F" w:rsidRDefault="00FA6BEC">
            <w:pPr>
              <w:jc w:val="right"/>
            </w:pPr>
            <w:r>
              <w:rPr>
                <w:color w:val="000000"/>
                <w:kern w:val="0"/>
                <w:sz w:val="24"/>
                <w:szCs w:val="24"/>
              </w:rPr>
              <w:t>4.22</w:t>
            </w:r>
          </w:p>
        </w:tc>
      </w:tr>
      <w:tr w:rsidR="00CC5D1F">
        <w:tc>
          <w:tcPr>
            <w:tcW w:w="0" w:type="auto"/>
            <w:vAlign w:val="center"/>
          </w:tcPr>
          <w:p w:rsidR="00CC5D1F" w:rsidRDefault="00FA6BEC">
            <w:pPr>
              <w:jc w:val="center"/>
            </w:pPr>
            <w:r>
              <w:rPr>
                <w:color w:val="000000"/>
                <w:kern w:val="0"/>
                <w:sz w:val="24"/>
                <w:szCs w:val="24"/>
              </w:rPr>
              <w:t>9</w:t>
            </w:r>
          </w:p>
        </w:tc>
        <w:tc>
          <w:tcPr>
            <w:tcW w:w="0" w:type="auto"/>
            <w:vAlign w:val="center"/>
          </w:tcPr>
          <w:p w:rsidR="00CC5D1F" w:rsidRDefault="00FA6BEC">
            <w:pPr>
              <w:jc w:val="center"/>
            </w:pPr>
            <w:r>
              <w:rPr>
                <w:color w:val="000000"/>
                <w:kern w:val="0"/>
                <w:sz w:val="24"/>
                <w:szCs w:val="24"/>
              </w:rPr>
              <w:t>300750</w:t>
            </w:r>
          </w:p>
        </w:tc>
        <w:tc>
          <w:tcPr>
            <w:tcW w:w="0" w:type="auto"/>
            <w:vAlign w:val="center"/>
          </w:tcPr>
          <w:p w:rsidR="00CC5D1F" w:rsidRDefault="00FA6BEC">
            <w:pPr>
              <w:jc w:val="center"/>
            </w:pPr>
            <w:r>
              <w:rPr>
                <w:color w:val="000000"/>
                <w:kern w:val="0"/>
                <w:sz w:val="24"/>
                <w:szCs w:val="24"/>
              </w:rPr>
              <w:t>宁德时代</w:t>
            </w:r>
          </w:p>
        </w:tc>
        <w:tc>
          <w:tcPr>
            <w:tcW w:w="0" w:type="auto"/>
            <w:vAlign w:val="center"/>
          </w:tcPr>
          <w:p w:rsidR="00CC5D1F" w:rsidRDefault="00FA6BEC">
            <w:pPr>
              <w:jc w:val="right"/>
            </w:pPr>
            <w:r>
              <w:rPr>
                <w:color w:val="000000"/>
                <w:kern w:val="0"/>
                <w:sz w:val="24"/>
                <w:szCs w:val="24"/>
              </w:rPr>
              <w:t>917,550</w:t>
            </w:r>
          </w:p>
        </w:tc>
        <w:tc>
          <w:tcPr>
            <w:tcW w:w="0" w:type="auto"/>
            <w:vAlign w:val="center"/>
          </w:tcPr>
          <w:p w:rsidR="00CC5D1F" w:rsidRDefault="00FA6BEC">
            <w:pPr>
              <w:jc w:val="right"/>
            </w:pPr>
            <w:r>
              <w:rPr>
                <w:color w:val="000000"/>
                <w:kern w:val="0"/>
                <w:sz w:val="24"/>
                <w:szCs w:val="24"/>
              </w:rPr>
              <w:t>97,627,320.00</w:t>
            </w:r>
          </w:p>
        </w:tc>
        <w:tc>
          <w:tcPr>
            <w:tcW w:w="0" w:type="auto"/>
            <w:vAlign w:val="center"/>
          </w:tcPr>
          <w:p w:rsidR="00CC5D1F" w:rsidRDefault="00FA6BEC">
            <w:pPr>
              <w:jc w:val="right"/>
            </w:pPr>
            <w:r>
              <w:rPr>
                <w:color w:val="000000"/>
                <w:kern w:val="0"/>
                <w:sz w:val="24"/>
                <w:szCs w:val="24"/>
              </w:rPr>
              <w:t>3.18</w:t>
            </w:r>
          </w:p>
        </w:tc>
      </w:tr>
      <w:tr w:rsidR="00CC5D1F">
        <w:tc>
          <w:tcPr>
            <w:tcW w:w="0" w:type="auto"/>
            <w:vAlign w:val="center"/>
          </w:tcPr>
          <w:p w:rsidR="00CC5D1F" w:rsidRDefault="00FA6BEC">
            <w:pPr>
              <w:jc w:val="center"/>
            </w:pPr>
            <w:r>
              <w:rPr>
                <w:color w:val="000000"/>
                <w:kern w:val="0"/>
                <w:sz w:val="24"/>
                <w:szCs w:val="24"/>
              </w:rPr>
              <w:t>10</w:t>
            </w:r>
          </w:p>
        </w:tc>
        <w:tc>
          <w:tcPr>
            <w:tcW w:w="0" w:type="auto"/>
            <w:vAlign w:val="center"/>
          </w:tcPr>
          <w:p w:rsidR="00CC5D1F" w:rsidRDefault="00FA6BEC">
            <w:pPr>
              <w:jc w:val="center"/>
            </w:pPr>
            <w:r>
              <w:rPr>
                <w:color w:val="000000"/>
                <w:kern w:val="0"/>
                <w:sz w:val="24"/>
                <w:szCs w:val="24"/>
              </w:rPr>
              <w:t>300413</w:t>
            </w:r>
          </w:p>
        </w:tc>
        <w:tc>
          <w:tcPr>
            <w:tcW w:w="0" w:type="auto"/>
            <w:vAlign w:val="center"/>
          </w:tcPr>
          <w:p w:rsidR="00CC5D1F" w:rsidRDefault="00FA6BEC">
            <w:pPr>
              <w:jc w:val="center"/>
            </w:pPr>
            <w:r>
              <w:rPr>
                <w:color w:val="000000"/>
                <w:kern w:val="0"/>
                <w:sz w:val="24"/>
                <w:szCs w:val="24"/>
              </w:rPr>
              <w:t>芒果超媒</w:t>
            </w:r>
          </w:p>
        </w:tc>
        <w:tc>
          <w:tcPr>
            <w:tcW w:w="0" w:type="auto"/>
            <w:vAlign w:val="center"/>
          </w:tcPr>
          <w:p w:rsidR="00CC5D1F" w:rsidRDefault="00FA6BEC">
            <w:pPr>
              <w:jc w:val="right"/>
            </w:pPr>
            <w:r>
              <w:rPr>
                <w:color w:val="000000"/>
                <w:kern w:val="0"/>
                <w:sz w:val="24"/>
                <w:szCs w:val="24"/>
              </w:rPr>
              <w:t>2,638,837</w:t>
            </w:r>
          </w:p>
        </w:tc>
        <w:tc>
          <w:tcPr>
            <w:tcW w:w="0" w:type="auto"/>
            <w:vAlign w:val="center"/>
          </w:tcPr>
          <w:p w:rsidR="00CC5D1F" w:rsidRDefault="00FA6BEC">
            <w:pPr>
              <w:jc w:val="right"/>
            </w:pPr>
            <w:r>
              <w:rPr>
                <w:color w:val="000000"/>
                <w:kern w:val="0"/>
                <w:sz w:val="24"/>
                <w:szCs w:val="24"/>
              </w:rPr>
              <w:t>92,253,741.52</w:t>
            </w:r>
          </w:p>
        </w:tc>
        <w:tc>
          <w:tcPr>
            <w:tcW w:w="0" w:type="auto"/>
            <w:vAlign w:val="center"/>
          </w:tcPr>
          <w:p w:rsidR="00CC5D1F" w:rsidRDefault="00FA6BEC">
            <w:pPr>
              <w:jc w:val="right"/>
            </w:pPr>
            <w:r>
              <w:rPr>
                <w:color w:val="000000"/>
                <w:kern w:val="0"/>
                <w:sz w:val="24"/>
                <w:szCs w:val="24"/>
              </w:rPr>
              <w:t>3.01</w:t>
            </w:r>
          </w:p>
        </w:tc>
      </w:tr>
    </w:tbl>
    <w:p w:rsidR="00CA4677" w:rsidRPr="00283CAD" w:rsidRDefault="00750D48" w:rsidP="00CA4677">
      <w:pPr>
        <w:autoSpaceDE w:val="0"/>
        <w:autoSpaceDN w:val="0"/>
        <w:adjustRightInd w:val="0"/>
        <w:spacing w:line="360" w:lineRule="auto"/>
        <w:jc w:val="left"/>
        <w:rPr>
          <w:rFonts w:eastAsiaTheme="minorEastAsia"/>
          <w:b/>
          <w:bCs/>
          <w:color w:val="000000" w:themeColor="text1"/>
          <w:kern w:val="0"/>
          <w:sz w:val="24"/>
          <w:szCs w:val="24"/>
        </w:rPr>
      </w:pPr>
      <w:r w:rsidRPr="00264E55">
        <w:rPr>
          <w:rFonts w:ascii="宋体" w:hAnsi="宋体"/>
          <w:b/>
          <w:bCs/>
          <w:color w:val="000000"/>
          <w:kern w:val="0"/>
          <w:sz w:val="24"/>
          <w:szCs w:val="24"/>
        </w:rPr>
        <w:t xml:space="preserve">5.4 </w:t>
      </w:r>
      <w:r w:rsidRPr="00264E55">
        <w:rPr>
          <w:rFonts w:ascii="宋体" w:hAnsi="宋体" w:hint="eastAsia"/>
          <w:b/>
          <w:bCs/>
          <w:color w:val="000000"/>
          <w:kern w:val="0"/>
          <w:sz w:val="24"/>
          <w:szCs w:val="24"/>
        </w:rPr>
        <w:t>报告期末按债券品种分类的债券投资组合</w:t>
      </w:r>
    </w:p>
    <w:p w:rsidR="00750D48" w:rsidRPr="00232B03" w:rsidRDefault="00CA4677" w:rsidP="00403A06">
      <w:pPr>
        <w:spacing w:line="360" w:lineRule="auto"/>
        <w:ind w:firstLineChars="200" w:firstLine="480"/>
        <w:rPr>
          <w:color w:val="000000"/>
          <w:sz w:val="24"/>
          <w:szCs w:val="24"/>
        </w:rPr>
      </w:pPr>
      <w:r w:rsidRPr="00403A06">
        <w:rPr>
          <w:color w:val="000000"/>
          <w:sz w:val="24"/>
          <w:szCs w:val="24"/>
        </w:rPr>
        <w:t>本基金本报告期末未持有债券。</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5.5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的前五名债券投资明细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本基金本报告期末未持有债券。</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5.6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的前十名资产支持证券投资明细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本基金本报告期末未持有资产支持证券。</w:t>
      </w:r>
    </w:p>
    <w:p w:rsidR="00750D48" w:rsidRPr="001D63BB" w:rsidRDefault="00750D48" w:rsidP="001D63BB">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w:t>
      </w:r>
      <w:r w:rsidRPr="001B0A62">
        <w:rPr>
          <w:rFonts w:ascii="宋体"/>
          <w:b/>
          <w:bCs/>
          <w:color w:val="000000"/>
          <w:kern w:val="0"/>
          <w:sz w:val="24"/>
          <w:szCs w:val="24"/>
        </w:rPr>
        <w:t>7</w:t>
      </w:r>
      <w:r w:rsidRPr="001D63BB">
        <w:rPr>
          <w:rFonts w:ascii="宋体" w:hAnsi="宋体" w:hint="eastAsia"/>
          <w:b/>
          <w:bCs/>
          <w:color w:val="000000"/>
          <w:kern w:val="0"/>
          <w:sz w:val="24"/>
          <w:szCs w:val="24"/>
        </w:rPr>
        <w:t>报告期末按公允价值占基金资产净值比例大小排序的前五名贵金属投资明细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本基金本报告期末未持有贵金属。</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b/>
          <w:bCs/>
          <w:color w:val="000000"/>
          <w:kern w:val="0"/>
          <w:sz w:val="24"/>
          <w:szCs w:val="24"/>
        </w:rPr>
        <w:t>5.8</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的前五名权证投资明细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本基金本报告期末未持有权证。</w:t>
      </w:r>
    </w:p>
    <w:p w:rsidR="00750D48" w:rsidRPr="001B0A62"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w:t>
      </w:r>
      <w:r>
        <w:rPr>
          <w:rFonts w:ascii="宋体"/>
          <w:b/>
          <w:bCs/>
          <w:color w:val="000000"/>
          <w:kern w:val="0"/>
          <w:sz w:val="24"/>
          <w:szCs w:val="24"/>
        </w:rPr>
        <w:t>.</w:t>
      </w:r>
      <w:r w:rsidRPr="001B0A62">
        <w:rPr>
          <w:rFonts w:ascii="宋体"/>
          <w:b/>
          <w:bCs/>
          <w:color w:val="000000"/>
          <w:kern w:val="0"/>
          <w:sz w:val="24"/>
          <w:szCs w:val="24"/>
        </w:rPr>
        <w:t>9</w:t>
      </w:r>
      <w:r w:rsidRPr="001B0A62">
        <w:rPr>
          <w:rFonts w:ascii="宋体" w:hAnsi="宋体" w:hint="eastAsia"/>
          <w:b/>
          <w:bCs/>
          <w:color w:val="000000"/>
          <w:kern w:val="0"/>
          <w:sz w:val="24"/>
          <w:szCs w:val="24"/>
        </w:rPr>
        <w:t>报告期末本基金投资的股指期货交易情况说明</w:t>
      </w:r>
    </w:p>
    <w:p w:rsidR="00277FAE" w:rsidRDefault="00277FAE" w:rsidP="00277FAE">
      <w:pPr>
        <w:spacing w:line="360" w:lineRule="auto"/>
        <w:ind w:firstLineChars="200" w:firstLine="480"/>
        <w:rPr>
          <w:rFonts w:eastAsiaTheme="minorEastAsia"/>
          <w:color w:val="000000" w:themeColor="text1"/>
          <w:sz w:val="24"/>
        </w:rPr>
      </w:pPr>
      <w:r>
        <w:rPr>
          <w:rFonts w:eastAsiaTheme="minorEastAsia"/>
          <w:color w:val="000000" w:themeColor="text1"/>
          <w:sz w:val="24"/>
        </w:rPr>
        <w:t>本基金本报告期末未投资股指期货。</w:t>
      </w:r>
    </w:p>
    <w:p w:rsidR="00750D48" w:rsidRPr="001B0A62"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5.10</w:t>
      </w:r>
      <w:r w:rsidRPr="001B0A62">
        <w:rPr>
          <w:rFonts w:ascii="宋体" w:hAnsi="宋体" w:hint="eastAsia"/>
          <w:b/>
          <w:bCs/>
          <w:color w:val="000000"/>
          <w:kern w:val="0"/>
          <w:sz w:val="24"/>
          <w:szCs w:val="24"/>
        </w:rPr>
        <w:t>报告期末本基金投资的国债期货交易情况说明</w:t>
      </w:r>
    </w:p>
    <w:p w:rsidR="00277FAE" w:rsidRDefault="00277FAE" w:rsidP="00277FAE">
      <w:pPr>
        <w:spacing w:line="360" w:lineRule="auto"/>
        <w:ind w:firstLineChars="200" w:firstLine="480"/>
      </w:pPr>
      <w:r>
        <w:rPr>
          <w:color w:val="000000"/>
          <w:sz w:val="24"/>
        </w:rPr>
        <w:t>本基金本报告期末未投资国债期货。</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5.11 </w:t>
      </w:r>
      <w:r w:rsidRPr="00264E55">
        <w:rPr>
          <w:rFonts w:ascii="宋体" w:hAnsi="宋体" w:hint="eastAsia"/>
          <w:b/>
          <w:bCs/>
          <w:color w:val="000000"/>
          <w:kern w:val="0"/>
          <w:sz w:val="24"/>
          <w:szCs w:val="24"/>
        </w:rPr>
        <w:t>投资组合报告附注</w:t>
      </w:r>
    </w:p>
    <w:p w:rsidR="00750D48" w:rsidRPr="00264E55" w:rsidRDefault="00750D48" w:rsidP="001B0A62">
      <w:pPr>
        <w:spacing w:line="360" w:lineRule="auto"/>
        <w:rPr>
          <w:rFonts w:ascii="宋体" w:hAnsi="宋体"/>
          <w:color w:val="000000"/>
          <w:sz w:val="24"/>
          <w:szCs w:val="24"/>
        </w:rPr>
      </w:pPr>
      <w:r w:rsidRPr="00264E55">
        <w:rPr>
          <w:rFonts w:ascii="宋体" w:hAnsi="宋体"/>
          <w:color w:val="000000"/>
          <w:sz w:val="24"/>
          <w:szCs w:val="24"/>
        </w:rPr>
        <w:t>5.11.1芒果超媒（代码：300413）为易方达新兴成长灵活配置混合型证券投资基金的前十大重仓证券之一。2018年12月26日，湖南银保监局针对芒果超媒存在未按照规定设立专门账簿记载业务收支情况，欺骗保险人、投保人、被保险人或者受益人等违法违规行为，罚款合计9万元。</w:t>
      </w:r>
    </w:p>
    <w:p w:rsidR="00CC5D1F" w:rsidRDefault="00FA6BEC">
      <w:pPr>
        <w:spacing w:line="360" w:lineRule="auto"/>
        <w:rPr>
          <w:rFonts w:ascii="宋体" w:hAnsi="宋体"/>
          <w:color w:val="000000"/>
          <w:sz w:val="24"/>
          <w:szCs w:val="24"/>
        </w:rPr>
      </w:pPr>
      <w:r>
        <w:rPr>
          <w:rFonts w:ascii="宋体" w:hAnsi="宋体"/>
          <w:color w:val="000000"/>
          <w:sz w:val="24"/>
          <w:szCs w:val="24"/>
        </w:rPr>
        <w:t>本基金投资芒果超媒的投资决策程序符合公司投资制度的规定。</w:t>
      </w:r>
    </w:p>
    <w:p w:rsidR="00CC5D1F" w:rsidRDefault="00FA6BEC">
      <w:pPr>
        <w:spacing w:line="360" w:lineRule="auto"/>
        <w:rPr>
          <w:rFonts w:ascii="宋体" w:hAnsi="宋体"/>
          <w:color w:val="000000"/>
          <w:sz w:val="24"/>
          <w:szCs w:val="24"/>
        </w:rPr>
      </w:pPr>
      <w:r>
        <w:rPr>
          <w:rFonts w:ascii="宋体" w:hAnsi="宋体"/>
          <w:color w:val="000000"/>
          <w:sz w:val="24"/>
          <w:szCs w:val="24"/>
        </w:rPr>
        <w:t>除芒果超媒外，本基金投资的前十名证券的发行主体本期没有出现被监管部门立案调查，或在报告编制日前一年内受到公开谴责、处罚的情形。</w:t>
      </w:r>
    </w:p>
    <w:p w:rsidR="00750D48" w:rsidRPr="00264E55" w:rsidRDefault="00750D48" w:rsidP="001B0A62">
      <w:pPr>
        <w:spacing w:line="360" w:lineRule="auto"/>
        <w:rPr>
          <w:rFonts w:ascii="宋体" w:hAnsi="宋体"/>
          <w:color w:val="000000"/>
          <w:sz w:val="24"/>
          <w:szCs w:val="24"/>
        </w:rPr>
      </w:pPr>
      <w:r w:rsidRPr="00264E55">
        <w:rPr>
          <w:rFonts w:ascii="宋体" w:hAnsi="宋体"/>
          <w:color w:val="000000"/>
          <w:sz w:val="24"/>
          <w:szCs w:val="24"/>
        </w:rPr>
        <w:t>5.11.2本基金投资的前十名股票没有超出基金合同规定的备选股票库。</w:t>
      </w:r>
    </w:p>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 xml:space="preserve">5.11.3 </w:t>
      </w:r>
      <w:r w:rsidRPr="001C7E00">
        <w:rPr>
          <w:rFonts w:ascii="宋体" w:hAnsi="宋体" w:hint="eastAsia"/>
          <w:bCs/>
          <w:color w:val="000000"/>
          <w:kern w:val="0"/>
          <w:sz w:val="24"/>
          <w:szCs w:val="24"/>
        </w:rPr>
        <w:t>其他各项资产构成</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5"/>
        <w:gridCol w:w="2470"/>
        <w:gridCol w:w="4808"/>
      </w:tblGrid>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序号</w:t>
            </w:r>
          </w:p>
        </w:tc>
        <w:tc>
          <w:tcPr>
            <w:tcW w:w="2470" w:type="dxa"/>
            <w:vAlign w:val="center"/>
          </w:tcPr>
          <w:p w:rsidR="00750D48" w:rsidRPr="00B227EA" w:rsidRDefault="00750D48" w:rsidP="00B05049">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名称</w:t>
            </w:r>
          </w:p>
        </w:tc>
        <w:tc>
          <w:tcPr>
            <w:tcW w:w="4808" w:type="dxa"/>
            <w:vAlign w:val="center"/>
          </w:tcPr>
          <w:p w:rsidR="00750D48" w:rsidRPr="00B227EA" w:rsidRDefault="00750D48" w:rsidP="005F7917">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金额</w:t>
            </w:r>
            <w:r w:rsidR="005F7917" w:rsidRPr="00B227EA">
              <w:rPr>
                <w:color w:val="000000"/>
                <w:kern w:val="0"/>
                <w:sz w:val="24"/>
                <w:szCs w:val="24"/>
              </w:rPr>
              <w:t>（元）</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1</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存出保证金</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596,164.01</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2</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应收证券清算款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23,798,713.86</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3</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应收股利</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4</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应收利息</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63,848.28</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5</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应收申购款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89,275,151.29</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6</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其他应收款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7</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待摊费用</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8</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其他</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9</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合计</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113,733,877.44</w:t>
            </w:r>
          </w:p>
        </w:tc>
      </w:tr>
    </w:tbl>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5.11.4</w:t>
      </w:r>
      <w:r w:rsidRPr="001C7E00">
        <w:rPr>
          <w:rFonts w:ascii="宋体" w:hAnsi="宋体" w:hint="eastAsia"/>
          <w:bCs/>
          <w:color w:val="000000"/>
          <w:kern w:val="0"/>
          <w:sz w:val="24"/>
          <w:szCs w:val="24"/>
        </w:rPr>
        <w:t>报告期末持有的处于转股期的可转换债券明细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本基金本报告期末未持有处于转股期的可转换债券。</w:t>
      </w:r>
    </w:p>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5.11.5</w:t>
      </w:r>
      <w:r w:rsidRPr="001C7E00">
        <w:rPr>
          <w:rFonts w:ascii="宋体" w:hAnsi="宋体" w:hint="eastAsia"/>
          <w:bCs/>
          <w:color w:val="000000"/>
          <w:kern w:val="0"/>
          <w:sz w:val="24"/>
          <w:szCs w:val="24"/>
        </w:rPr>
        <w:t>报告期末前十名股票中存在流通受限情况的说明</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3"/>
        <w:gridCol w:w="1302"/>
        <w:gridCol w:w="1301"/>
        <w:gridCol w:w="1805"/>
        <w:gridCol w:w="1655"/>
        <w:gridCol w:w="1367"/>
      </w:tblGrid>
      <w:tr w:rsidR="00750D48" w:rsidRPr="00264E55" w:rsidTr="00B05049">
        <w:tc>
          <w:tcPr>
            <w:tcW w:w="1083"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序号</w:t>
            </w:r>
          </w:p>
        </w:tc>
        <w:tc>
          <w:tcPr>
            <w:tcW w:w="1302"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股票代码</w:t>
            </w:r>
          </w:p>
        </w:tc>
        <w:tc>
          <w:tcPr>
            <w:tcW w:w="1301"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股票名称</w:t>
            </w:r>
          </w:p>
        </w:tc>
        <w:tc>
          <w:tcPr>
            <w:tcW w:w="1805" w:type="dxa"/>
            <w:vAlign w:val="center"/>
          </w:tcPr>
          <w:p w:rsidR="00750D48" w:rsidRPr="00B227EA" w:rsidRDefault="00750D48" w:rsidP="005F7917">
            <w:pPr>
              <w:spacing w:before="29" w:line="360" w:lineRule="auto"/>
              <w:ind w:left="17"/>
              <w:jc w:val="center"/>
              <w:rPr>
                <w:color w:val="000000"/>
                <w:kern w:val="0"/>
                <w:sz w:val="24"/>
                <w:szCs w:val="24"/>
              </w:rPr>
            </w:pPr>
            <w:r w:rsidRPr="00B227EA">
              <w:rPr>
                <w:color w:val="000000"/>
                <w:kern w:val="0"/>
                <w:sz w:val="24"/>
                <w:szCs w:val="24"/>
              </w:rPr>
              <w:t>流通受限部分的公允价值</w:t>
            </w:r>
            <w:r w:rsidR="005F7917" w:rsidRPr="00B227EA">
              <w:rPr>
                <w:color w:val="000000"/>
                <w:kern w:val="0"/>
                <w:sz w:val="24"/>
                <w:szCs w:val="24"/>
              </w:rPr>
              <w:t>（元）</w:t>
            </w:r>
          </w:p>
        </w:tc>
        <w:tc>
          <w:tcPr>
            <w:tcW w:w="1655" w:type="dxa"/>
            <w:vAlign w:val="center"/>
          </w:tcPr>
          <w:p w:rsidR="00750D48" w:rsidRPr="00B227EA" w:rsidRDefault="00750D48" w:rsidP="005F7917">
            <w:pPr>
              <w:spacing w:before="29" w:line="360" w:lineRule="auto"/>
              <w:ind w:left="17"/>
              <w:jc w:val="center"/>
              <w:rPr>
                <w:color w:val="000000"/>
                <w:kern w:val="0"/>
                <w:sz w:val="24"/>
                <w:szCs w:val="24"/>
              </w:rPr>
            </w:pPr>
            <w:r w:rsidRPr="00B227EA">
              <w:rPr>
                <w:color w:val="000000"/>
                <w:kern w:val="0"/>
                <w:sz w:val="24"/>
                <w:szCs w:val="24"/>
              </w:rPr>
              <w:t>占基金资产净值比例</w:t>
            </w:r>
            <w:r w:rsidR="005F7917" w:rsidRPr="00B227EA">
              <w:rPr>
                <w:color w:val="000000"/>
                <w:kern w:val="0"/>
                <w:sz w:val="24"/>
                <w:szCs w:val="24"/>
              </w:rPr>
              <w:t>（</w:t>
            </w:r>
            <w:r w:rsidR="005F7917" w:rsidRPr="00B227EA">
              <w:rPr>
                <w:color w:val="000000"/>
                <w:kern w:val="0"/>
                <w:sz w:val="24"/>
                <w:szCs w:val="24"/>
              </w:rPr>
              <w:t>%</w:t>
            </w:r>
            <w:r w:rsidR="005F7917" w:rsidRPr="00B227EA">
              <w:rPr>
                <w:color w:val="000000"/>
                <w:kern w:val="0"/>
                <w:sz w:val="24"/>
                <w:szCs w:val="24"/>
              </w:rPr>
              <w:t>）</w:t>
            </w:r>
          </w:p>
        </w:tc>
        <w:tc>
          <w:tcPr>
            <w:tcW w:w="1367"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流通受限情况说明</w:t>
            </w:r>
          </w:p>
        </w:tc>
      </w:tr>
      <w:tr w:rsidR="00CC5D1F">
        <w:tc>
          <w:tcPr>
            <w:tcW w:w="0" w:type="auto"/>
            <w:vAlign w:val="center"/>
          </w:tcPr>
          <w:p w:rsidR="00CC5D1F" w:rsidRDefault="00FA6BEC">
            <w:pPr>
              <w:jc w:val="center"/>
            </w:pPr>
            <w:r>
              <w:rPr>
                <w:color w:val="000000"/>
                <w:kern w:val="0"/>
                <w:sz w:val="24"/>
                <w:szCs w:val="24"/>
              </w:rPr>
              <w:t>1</w:t>
            </w:r>
          </w:p>
        </w:tc>
        <w:tc>
          <w:tcPr>
            <w:tcW w:w="0" w:type="auto"/>
            <w:vAlign w:val="center"/>
          </w:tcPr>
          <w:p w:rsidR="00CC5D1F" w:rsidRDefault="00FA6BEC">
            <w:pPr>
              <w:jc w:val="center"/>
            </w:pPr>
            <w:r>
              <w:rPr>
                <w:color w:val="000000"/>
                <w:kern w:val="0"/>
                <w:sz w:val="24"/>
                <w:szCs w:val="24"/>
              </w:rPr>
              <w:t>603799</w:t>
            </w:r>
          </w:p>
        </w:tc>
        <w:tc>
          <w:tcPr>
            <w:tcW w:w="0" w:type="auto"/>
            <w:vAlign w:val="center"/>
          </w:tcPr>
          <w:p w:rsidR="00CC5D1F" w:rsidRDefault="00FA6BEC">
            <w:pPr>
              <w:jc w:val="center"/>
            </w:pPr>
            <w:r>
              <w:rPr>
                <w:color w:val="000000"/>
                <w:kern w:val="0"/>
                <w:sz w:val="24"/>
                <w:szCs w:val="24"/>
              </w:rPr>
              <w:t>华友钴业</w:t>
            </w:r>
          </w:p>
        </w:tc>
        <w:tc>
          <w:tcPr>
            <w:tcW w:w="0" w:type="auto"/>
            <w:vAlign w:val="center"/>
          </w:tcPr>
          <w:p w:rsidR="00CC5D1F" w:rsidRDefault="00FA6BEC">
            <w:pPr>
              <w:jc w:val="right"/>
            </w:pPr>
            <w:r>
              <w:rPr>
                <w:color w:val="000000"/>
                <w:kern w:val="0"/>
                <w:sz w:val="24"/>
                <w:szCs w:val="24"/>
              </w:rPr>
              <w:t>162,824,434.11</w:t>
            </w:r>
          </w:p>
        </w:tc>
        <w:tc>
          <w:tcPr>
            <w:tcW w:w="0" w:type="auto"/>
            <w:vAlign w:val="center"/>
          </w:tcPr>
          <w:p w:rsidR="00CC5D1F" w:rsidRDefault="00FA6BEC">
            <w:pPr>
              <w:jc w:val="right"/>
            </w:pPr>
            <w:r>
              <w:rPr>
                <w:color w:val="000000"/>
                <w:kern w:val="0"/>
                <w:sz w:val="24"/>
                <w:szCs w:val="24"/>
              </w:rPr>
              <w:t>5.31</w:t>
            </w:r>
          </w:p>
        </w:tc>
        <w:tc>
          <w:tcPr>
            <w:tcW w:w="0" w:type="auto"/>
            <w:vAlign w:val="center"/>
          </w:tcPr>
          <w:p w:rsidR="00CC5D1F" w:rsidRDefault="00FA6BEC">
            <w:pPr>
              <w:jc w:val="right"/>
            </w:pPr>
            <w:r>
              <w:rPr>
                <w:color w:val="000000"/>
                <w:kern w:val="0"/>
                <w:sz w:val="24"/>
                <w:szCs w:val="24"/>
              </w:rPr>
              <w:t>重大事项停牌</w:t>
            </w:r>
          </w:p>
        </w:tc>
      </w:tr>
    </w:tbl>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6  </w:t>
      </w:r>
      <w:r w:rsidRPr="00264E55">
        <w:rPr>
          <w:rFonts w:ascii="宋体" w:hAnsi="宋体" w:hint="eastAsia"/>
          <w:color w:val="000000"/>
          <w:kern w:val="0"/>
          <w:sz w:val="24"/>
          <w:szCs w:val="24"/>
        </w:rPr>
        <w:t>开放式基金份额变动</w:t>
      </w:r>
    </w:p>
    <w:p w:rsidR="00750D48" w:rsidRPr="00264E55" w:rsidRDefault="00750D48" w:rsidP="004061AC">
      <w:pPr>
        <w:autoSpaceDE w:val="0"/>
        <w:autoSpaceDN w:val="0"/>
        <w:adjustRightInd w:val="0"/>
        <w:spacing w:before="29" w:line="360" w:lineRule="auto"/>
        <w:ind w:left="15"/>
        <w:jc w:val="right"/>
        <w:rPr>
          <w:rFonts w:ascii="宋体"/>
          <w:color w:val="000000"/>
          <w:kern w:val="0"/>
          <w:sz w:val="24"/>
          <w:szCs w:val="24"/>
        </w:rPr>
      </w:pPr>
      <w:r w:rsidRPr="00264E55">
        <w:rPr>
          <w:rFonts w:ascii="宋体" w:hAnsi="宋体" w:cs="宋体" w:hint="eastAsia"/>
          <w:color w:val="000000"/>
          <w:kern w:val="0"/>
          <w:sz w:val="24"/>
          <w:szCs w:val="24"/>
        </w:rPr>
        <w:t>单位：份</w:t>
      </w:r>
    </w:p>
    <w:tbl>
      <w:tblPr>
        <w:tblW w:w="0" w:type="auto"/>
        <w:tblInd w:w="-106" w:type="dxa"/>
        <w:tblLayout w:type="fixed"/>
        <w:tblLook w:val="0000" w:firstRow="0" w:lastRow="0" w:firstColumn="0" w:lastColumn="0" w:noHBand="0" w:noVBand="0"/>
      </w:tblPr>
      <w:tblGrid>
        <w:gridCol w:w="4609"/>
        <w:gridCol w:w="4025"/>
      </w:tblGrid>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860,162,428.85</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535,459,009.05</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减：报告期基金总赎回份额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346,165,744.67</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0A2B53">
            <w:pPr>
              <w:autoSpaceDE w:val="0"/>
              <w:autoSpaceDN w:val="0"/>
              <w:adjustRightInd w:val="0"/>
              <w:spacing w:before="29" w:line="360" w:lineRule="auto"/>
              <w:ind w:left="17"/>
              <w:jc w:val="right"/>
              <w:rPr>
                <w:color w:val="000000"/>
                <w:sz w:val="24"/>
                <w:szCs w:val="24"/>
              </w:rPr>
            </w:pPr>
            <w:r w:rsidRPr="00B227EA">
              <w:rPr>
                <w:color w:val="000000"/>
                <w:sz w:val="24"/>
                <w:szCs w:val="24"/>
              </w:rPr>
              <w:t>1,049,455,693.23</w:t>
            </w:r>
          </w:p>
        </w:tc>
      </w:tr>
    </w:tbl>
    <w:p w:rsidR="00750D48" w:rsidRDefault="00750D48" w:rsidP="004D28A3">
      <w:pPr>
        <w:pStyle w:val="1"/>
        <w:tabs>
          <w:tab w:val="center" w:pos="4156"/>
          <w:tab w:val="right" w:pos="8312"/>
        </w:tabs>
        <w:spacing w:beforeLines="100" w:before="312" w:afterLines="100" w:after="312" w:line="360" w:lineRule="auto"/>
        <w:jc w:val="center"/>
        <w:rPr>
          <w:rFonts w:ascii="方正仿宋简体"/>
          <w:sz w:val="24"/>
          <w:szCs w:val="24"/>
        </w:rPr>
      </w:pPr>
      <w:r>
        <w:rPr>
          <w:rFonts w:ascii="宋体" w:hAnsi="宋体" w:cs="Arial" w:hint="eastAsia"/>
          <w:color w:val="000000"/>
          <w:kern w:val="0"/>
          <w:sz w:val="24"/>
          <w:szCs w:val="24"/>
        </w:rPr>
        <w:t>§</w:t>
      </w:r>
      <w:r>
        <w:rPr>
          <w:rFonts w:ascii="宋体" w:hAnsi="宋体" w:cs="Arial"/>
          <w:color w:val="000000"/>
          <w:kern w:val="0"/>
          <w:sz w:val="24"/>
          <w:szCs w:val="24"/>
        </w:rPr>
        <w:t xml:space="preserve">7  </w:t>
      </w:r>
      <w:r>
        <w:rPr>
          <w:rFonts w:ascii="方正仿宋简体" w:hint="eastAsia"/>
          <w:sz w:val="24"/>
          <w:szCs w:val="24"/>
        </w:rPr>
        <w:t>基金管理人运用固有资金投资本基金情况</w:t>
      </w:r>
    </w:p>
    <w:p w:rsidR="00750D48" w:rsidRDefault="00750D48" w:rsidP="00EB374A">
      <w:pPr>
        <w:spacing w:line="360" w:lineRule="auto"/>
        <w:jc w:val="left"/>
        <w:rPr>
          <w:sz w:val="24"/>
          <w:szCs w:val="24"/>
        </w:rPr>
      </w:pPr>
      <w:r>
        <w:rPr>
          <w:b/>
          <w:sz w:val="24"/>
        </w:rPr>
        <w:t xml:space="preserve">7.1 </w:t>
      </w:r>
      <w:r>
        <w:rPr>
          <w:rFonts w:hint="eastAsia"/>
          <w:b/>
          <w:sz w:val="24"/>
        </w:rPr>
        <w:t>基金管理人持有本基金份额变动情况</w:t>
      </w:r>
    </w:p>
    <w:p w:rsidR="00AC11B0" w:rsidRPr="005A564A" w:rsidRDefault="00AC11B0" w:rsidP="00AC11B0">
      <w:pPr>
        <w:autoSpaceDE w:val="0"/>
        <w:autoSpaceDN w:val="0"/>
        <w:adjustRightInd w:val="0"/>
        <w:spacing w:before="29" w:line="360" w:lineRule="auto"/>
        <w:ind w:left="15"/>
        <w:jc w:val="right"/>
        <w:rPr>
          <w:sz w:val="24"/>
        </w:rPr>
      </w:pPr>
      <w:r w:rsidRPr="005A564A">
        <w:rPr>
          <w:sz w:val="24"/>
        </w:rPr>
        <w:t>单位：份</w:t>
      </w:r>
    </w:p>
    <w:tbl>
      <w:tblPr>
        <w:tblW w:w="8415" w:type="dxa"/>
        <w:tblInd w:w="108" w:type="dxa"/>
        <w:tblLayout w:type="fixed"/>
        <w:tblLook w:val="04A0" w:firstRow="1" w:lastRow="0" w:firstColumn="1" w:lastColumn="0" w:noHBand="0" w:noVBand="1"/>
      </w:tblPr>
      <w:tblGrid>
        <w:gridCol w:w="5037"/>
        <w:gridCol w:w="3378"/>
      </w:tblGrid>
      <w:tr w:rsidR="00AC11B0" w:rsidRPr="003B42FF" w:rsidTr="003328D9">
        <w:tc>
          <w:tcPr>
            <w:tcW w:w="5037" w:type="dxa"/>
            <w:tcBorders>
              <w:top w:val="single" w:sz="8" w:space="0" w:color="000000"/>
              <w:left w:val="single" w:sz="8" w:space="0" w:color="000000"/>
              <w:bottom w:val="single" w:sz="8" w:space="0" w:color="000000"/>
              <w:right w:val="single" w:sz="8" w:space="0" w:color="000000"/>
            </w:tcBorders>
            <w:vAlign w:val="center"/>
            <w:hideMark/>
          </w:tcPr>
          <w:p w:rsidR="00AC11B0" w:rsidRPr="003B42FF" w:rsidRDefault="00AC11B0" w:rsidP="003328D9">
            <w:pPr>
              <w:pStyle w:val="ad"/>
              <w:adjustRightInd w:val="0"/>
              <w:snapToGrid w:val="0"/>
              <w:spacing w:line="360" w:lineRule="exact"/>
              <w:rPr>
                <w:rFonts w:eastAsiaTheme="minorEastAsia"/>
                <w:color w:val="000000" w:themeColor="text1"/>
              </w:rPr>
            </w:pPr>
            <w:r w:rsidRPr="003B42FF">
              <w:rPr>
                <w:rFonts w:eastAsiaTheme="minorEastAsia"/>
                <w:color w:val="000000" w:themeColor="text1"/>
              </w:rPr>
              <w:t>报告期期初管理人持有的本基金份额</w:t>
            </w:r>
          </w:p>
        </w:tc>
        <w:tc>
          <w:tcPr>
            <w:tcW w:w="3378" w:type="dxa"/>
            <w:tcBorders>
              <w:top w:val="single" w:sz="8" w:space="0" w:color="000000"/>
              <w:left w:val="single" w:sz="8" w:space="0" w:color="000000"/>
              <w:bottom w:val="single" w:sz="8" w:space="0" w:color="000000"/>
              <w:right w:val="single" w:sz="8" w:space="0" w:color="000000"/>
            </w:tcBorders>
            <w:vAlign w:val="center"/>
            <w:hideMark/>
          </w:tcPr>
          <w:p w:rsidR="00AC11B0" w:rsidRPr="003B42FF" w:rsidRDefault="00AC11B0" w:rsidP="003328D9">
            <w:pPr>
              <w:jc w:val="right"/>
              <w:rPr>
                <w:rFonts w:eastAsiaTheme="minorEastAsia"/>
                <w:color w:val="000000" w:themeColor="text1"/>
                <w:sz w:val="24"/>
                <w:szCs w:val="24"/>
              </w:rPr>
            </w:pPr>
            <w:r w:rsidRPr="003B42FF">
              <w:rPr>
                <w:rFonts w:eastAsiaTheme="minorEastAsia"/>
                <w:color w:val="000000" w:themeColor="text1"/>
                <w:sz w:val="24"/>
                <w:szCs w:val="24"/>
              </w:rPr>
              <w:t>61,530,929.03</w:t>
            </w:r>
          </w:p>
        </w:tc>
      </w:tr>
      <w:tr w:rsidR="00AC11B0" w:rsidRPr="003B42FF" w:rsidTr="003328D9">
        <w:tc>
          <w:tcPr>
            <w:tcW w:w="5037" w:type="dxa"/>
            <w:tcBorders>
              <w:top w:val="single" w:sz="8" w:space="0" w:color="000000"/>
              <w:left w:val="single" w:sz="8" w:space="0" w:color="000000"/>
              <w:bottom w:val="single" w:sz="8" w:space="0" w:color="000000"/>
              <w:right w:val="single" w:sz="8" w:space="0" w:color="000000"/>
            </w:tcBorders>
            <w:vAlign w:val="center"/>
            <w:hideMark/>
          </w:tcPr>
          <w:p w:rsidR="00AC11B0" w:rsidRPr="003B42FF" w:rsidRDefault="00AC11B0" w:rsidP="003328D9">
            <w:pPr>
              <w:adjustRightInd w:val="0"/>
              <w:snapToGrid w:val="0"/>
              <w:spacing w:line="360" w:lineRule="exact"/>
              <w:rPr>
                <w:rFonts w:eastAsiaTheme="minorEastAsia"/>
                <w:color w:val="000000" w:themeColor="text1"/>
                <w:sz w:val="24"/>
                <w:szCs w:val="24"/>
              </w:rPr>
            </w:pPr>
            <w:r w:rsidRPr="003B42FF">
              <w:rPr>
                <w:rFonts w:eastAsiaTheme="minorEastAsia"/>
                <w:color w:val="000000" w:themeColor="text1"/>
                <w:kern w:val="0"/>
                <w:sz w:val="24"/>
                <w:szCs w:val="24"/>
              </w:rPr>
              <w:t>报告期</w:t>
            </w:r>
            <w:r w:rsidR="00B53067" w:rsidRPr="00B53067">
              <w:rPr>
                <w:rFonts w:eastAsiaTheme="minorEastAsia"/>
                <w:color w:val="000000" w:themeColor="text1"/>
                <w:sz w:val="24"/>
                <w:szCs w:val="24"/>
              </w:rPr>
              <w:t>期间</w:t>
            </w:r>
            <w:r w:rsidRPr="003B42FF">
              <w:rPr>
                <w:rFonts w:eastAsiaTheme="minorEastAsia"/>
                <w:color w:val="000000" w:themeColor="text1"/>
                <w:sz w:val="24"/>
                <w:szCs w:val="24"/>
              </w:rPr>
              <w:t>买入</w:t>
            </w:r>
            <w:r w:rsidRPr="003B42FF">
              <w:rPr>
                <w:rFonts w:eastAsiaTheme="minorEastAsia"/>
                <w:color w:val="000000" w:themeColor="text1"/>
                <w:sz w:val="24"/>
                <w:szCs w:val="24"/>
              </w:rPr>
              <w:t>/</w:t>
            </w:r>
            <w:r w:rsidRPr="003B42FF">
              <w:rPr>
                <w:rFonts w:eastAsiaTheme="minorEastAsia"/>
                <w:color w:val="000000" w:themeColor="text1"/>
                <w:sz w:val="24"/>
                <w:szCs w:val="24"/>
              </w:rPr>
              <w:t>申购总份额</w:t>
            </w:r>
          </w:p>
        </w:tc>
        <w:tc>
          <w:tcPr>
            <w:tcW w:w="3378" w:type="dxa"/>
            <w:tcBorders>
              <w:top w:val="single" w:sz="8" w:space="0" w:color="000000"/>
              <w:left w:val="single" w:sz="8" w:space="0" w:color="000000"/>
              <w:bottom w:val="single" w:sz="8" w:space="0" w:color="000000"/>
              <w:right w:val="single" w:sz="8" w:space="0" w:color="000000"/>
            </w:tcBorders>
            <w:vAlign w:val="center"/>
            <w:hideMark/>
          </w:tcPr>
          <w:p w:rsidR="00AC11B0" w:rsidRPr="003B42FF" w:rsidRDefault="00AC11B0" w:rsidP="003328D9">
            <w:pPr>
              <w:jc w:val="right"/>
              <w:rPr>
                <w:rFonts w:eastAsiaTheme="minorEastAsia"/>
                <w:color w:val="000000" w:themeColor="text1"/>
                <w:kern w:val="0"/>
                <w:sz w:val="24"/>
                <w:szCs w:val="24"/>
              </w:rPr>
            </w:pPr>
            <w:r w:rsidRPr="003B42FF">
              <w:rPr>
                <w:rFonts w:eastAsiaTheme="minorEastAsia"/>
                <w:color w:val="000000" w:themeColor="text1"/>
                <w:sz w:val="24"/>
                <w:szCs w:val="24"/>
              </w:rPr>
              <w:t>-</w:t>
            </w:r>
          </w:p>
        </w:tc>
      </w:tr>
      <w:tr w:rsidR="00AC11B0" w:rsidRPr="003B42FF" w:rsidTr="003328D9">
        <w:tc>
          <w:tcPr>
            <w:tcW w:w="5037" w:type="dxa"/>
            <w:tcBorders>
              <w:top w:val="single" w:sz="8" w:space="0" w:color="000000"/>
              <w:left w:val="single" w:sz="8" w:space="0" w:color="000000"/>
              <w:bottom w:val="single" w:sz="8" w:space="0" w:color="000000"/>
              <w:right w:val="single" w:sz="8" w:space="0" w:color="000000"/>
            </w:tcBorders>
            <w:vAlign w:val="center"/>
            <w:hideMark/>
          </w:tcPr>
          <w:p w:rsidR="00AC11B0" w:rsidRPr="003B42FF" w:rsidRDefault="00AC11B0" w:rsidP="003328D9">
            <w:pPr>
              <w:adjustRightInd w:val="0"/>
              <w:snapToGrid w:val="0"/>
              <w:spacing w:line="360" w:lineRule="exact"/>
              <w:rPr>
                <w:rFonts w:eastAsiaTheme="minorEastAsia"/>
                <w:color w:val="000000" w:themeColor="text1"/>
                <w:sz w:val="24"/>
                <w:szCs w:val="24"/>
              </w:rPr>
            </w:pPr>
            <w:r w:rsidRPr="003B42FF">
              <w:rPr>
                <w:rFonts w:eastAsiaTheme="minorEastAsia"/>
                <w:color w:val="000000" w:themeColor="text1"/>
                <w:kern w:val="0"/>
                <w:sz w:val="24"/>
                <w:szCs w:val="24"/>
              </w:rPr>
              <w:t>报告期</w:t>
            </w:r>
            <w:r w:rsidR="00B53067" w:rsidRPr="00B53067">
              <w:rPr>
                <w:rFonts w:eastAsiaTheme="minorEastAsia"/>
                <w:color w:val="000000" w:themeColor="text1"/>
                <w:sz w:val="24"/>
                <w:szCs w:val="24"/>
              </w:rPr>
              <w:t>期间</w:t>
            </w:r>
            <w:r w:rsidRPr="003B42FF">
              <w:rPr>
                <w:rFonts w:eastAsiaTheme="minorEastAsia"/>
                <w:color w:val="000000" w:themeColor="text1"/>
                <w:sz w:val="24"/>
                <w:szCs w:val="24"/>
              </w:rPr>
              <w:t>卖出</w:t>
            </w:r>
            <w:r w:rsidRPr="003B42FF">
              <w:rPr>
                <w:rFonts w:eastAsiaTheme="minorEastAsia"/>
                <w:color w:val="000000" w:themeColor="text1"/>
                <w:sz w:val="24"/>
                <w:szCs w:val="24"/>
              </w:rPr>
              <w:t>/</w:t>
            </w:r>
            <w:r w:rsidRPr="003B42FF">
              <w:rPr>
                <w:rFonts w:eastAsiaTheme="minorEastAsia"/>
                <w:color w:val="000000" w:themeColor="text1"/>
                <w:sz w:val="24"/>
                <w:szCs w:val="24"/>
              </w:rPr>
              <w:t>赎回总份额</w:t>
            </w:r>
          </w:p>
        </w:tc>
        <w:tc>
          <w:tcPr>
            <w:tcW w:w="3378" w:type="dxa"/>
            <w:tcBorders>
              <w:top w:val="single" w:sz="8" w:space="0" w:color="000000"/>
              <w:left w:val="single" w:sz="8" w:space="0" w:color="000000"/>
              <w:bottom w:val="single" w:sz="8" w:space="0" w:color="000000"/>
              <w:right w:val="single" w:sz="8" w:space="0" w:color="000000"/>
            </w:tcBorders>
            <w:vAlign w:val="center"/>
            <w:hideMark/>
          </w:tcPr>
          <w:p w:rsidR="00AC11B0" w:rsidRPr="003B42FF" w:rsidRDefault="00AC11B0" w:rsidP="003328D9">
            <w:pPr>
              <w:jc w:val="right"/>
              <w:rPr>
                <w:rFonts w:eastAsiaTheme="minorEastAsia"/>
                <w:color w:val="000000" w:themeColor="text1"/>
                <w:kern w:val="0"/>
                <w:sz w:val="24"/>
                <w:szCs w:val="24"/>
              </w:rPr>
            </w:pPr>
            <w:r w:rsidRPr="003B42FF">
              <w:rPr>
                <w:rFonts w:eastAsiaTheme="minorEastAsia"/>
                <w:color w:val="000000" w:themeColor="text1"/>
                <w:sz w:val="24"/>
                <w:szCs w:val="24"/>
              </w:rPr>
              <w:t>61,530,929.03</w:t>
            </w:r>
          </w:p>
        </w:tc>
      </w:tr>
      <w:tr w:rsidR="00AC11B0" w:rsidRPr="003B42FF" w:rsidTr="003328D9">
        <w:tc>
          <w:tcPr>
            <w:tcW w:w="5037" w:type="dxa"/>
            <w:tcBorders>
              <w:top w:val="single" w:sz="8" w:space="0" w:color="000000"/>
              <w:left w:val="single" w:sz="8" w:space="0" w:color="000000"/>
              <w:bottom w:val="single" w:sz="8" w:space="0" w:color="000000"/>
              <w:right w:val="single" w:sz="8" w:space="0" w:color="000000"/>
            </w:tcBorders>
            <w:vAlign w:val="center"/>
            <w:hideMark/>
          </w:tcPr>
          <w:p w:rsidR="00AC11B0" w:rsidRPr="003B42FF" w:rsidRDefault="00AC11B0" w:rsidP="003328D9">
            <w:pPr>
              <w:adjustRightInd w:val="0"/>
              <w:snapToGrid w:val="0"/>
              <w:spacing w:line="360" w:lineRule="exact"/>
              <w:rPr>
                <w:rFonts w:eastAsiaTheme="minorEastAsia"/>
                <w:color w:val="000000" w:themeColor="text1"/>
                <w:sz w:val="24"/>
                <w:szCs w:val="24"/>
              </w:rPr>
            </w:pPr>
            <w:r w:rsidRPr="003B42FF">
              <w:rPr>
                <w:rFonts w:eastAsiaTheme="minorEastAsia"/>
                <w:color w:val="000000" w:themeColor="text1"/>
                <w:sz w:val="24"/>
                <w:szCs w:val="24"/>
              </w:rPr>
              <w:t>报告期期末管理人持有的本基金份额</w:t>
            </w:r>
          </w:p>
        </w:tc>
        <w:tc>
          <w:tcPr>
            <w:tcW w:w="3378" w:type="dxa"/>
            <w:tcBorders>
              <w:top w:val="single" w:sz="8" w:space="0" w:color="000000"/>
              <w:left w:val="single" w:sz="8" w:space="0" w:color="000000"/>
              <w:bottom w:val="single" w:sz="8" w:space="0" w:color="000000"/>
              <w:right w:val="single" w:sz="8" w:space="0" w:color="000000"/>
            </w:tcBorders>
            <w:vAlign w:val="center"/>
            <w:hideMark/>
          </w:tcPr>
          <w:p w:rsidR="00AC11B0" w:rsidRPr="003B42FF" w:rsidRDefault="00AC11B0" w:rsidP="003328D9">
            <w:pPr>
              <w:jc w:val="right"/>
              <w:rPr>
                <w:rFonts w:eastAsiaTheme="minorEastAsia"/>
                <w:color w:val="000000" w:themeColor="text1"/>
                <w:sz w:val="24"/>
                <w:szCs w:val="24"/>
              </w:rPr>
            </w:pPr>
            <w:r w:rsidRPr="003B42FF">
              <w:rPr>
                <w:rFonts w:eastAsiaTheme="minorEastAsia"/>
                <w:color w:val="000000" w:themeColor="text1"/>
                <w:sz w:val="24"/>
                <w:szCs w:val="24"/>
              </w:rPr>
              <w:t>-</w:t>
            </w:r>
          </w:p>
        </w:tc>
      </w:tr>
      <w:tr w:rsidR="00AC11B0" w:rsidRPr="003B42FF" w:rsidTr="003328D9">
        <w:tc>
          <w:tcPr>
            <w:tcW w:w="5037" w:type="dxa"/>
            <w:tcBorders>
              <w:top w:val="single" w:sz="8" w:space="0" w:color="000000"/>
              <w:left w:val="single" w:sz="8" w:space="0" w:color="000000"/>
              <w:bottom w:val="single" w:sz="8" w:space="0" w:color="000000"/>
              <w:right w:val="single" w:sz="8" w:space="0" w:color="000000"/>
            </w:tcBorders>
            <w:vAlign w:val="center"/>
            <w:hideMark/>
          </w:tcPr>
          <w:p w:rsidR="00AC11B0" w:rsidRPr="003B42FF" w:rsidRDefault="00AC11B0" w:rsidP="003328D9">
            <w:pPr>
              <w:adjustRightInd w:val="0"/>
              <w:snapToGrid w:val="0"/>
              <w:spacing w:line="360" w:lineRule="exact"/>
              <w:rPr>
                <w:rFonts w:eastAsiaTheme="minorEastAsia"/>
                <w:color w:val="000000" w:themeColor="text1"/>
                <w:sz w:val="24"/>
                <w:szCs w:val="24"/>
              </w:rPr>
            </w:pPr>
            <w:r w:rsidRPr="003B42FF">
              <w:rPr>
                <w:rFonts w:eastAsiaTheme="minorEastAsia"/>
                <w:color w:val="000000" w:themeColor="text1"/>
                <w:sz w:val="24"/>
                <w:szCs w:val="24"/>
              </w:rPr>
              <w:t>报告期期末持有的本基金份额占基金总份额比例（</w:t>
            </w:r>
            <w:r w:rsidRPr="003B42FF">
              <w:rPr>
                <w:rFonts w:eastAsiaTheme="minorEastAsia"/>
                <w:color w:val="000000" w:themeColor="text1"/>
                <w:sz w:val="24"/>
                <w:szCs w:val="24"/>
              </w:rPr>
              <w:t>%</w:t>
            </w:r>
            <w:r w:rsidRPr="003B42FF">
              <w:rPr>
                <w:rFonts w:eastAsiaTheme="minorEastAsia"/>
                <w:color w:val="000000" w:themeColor="text1"/>
                <w:sz w:val="24"/>
                <w:szCs w:val="24"/>
              </w:rPr>
              <w:t>）</w:t>
            </w:r>
          </w:p>
        </w:tc>
        <w:tc>
          <w:tcPr>
            <w:tcW w:w="3378" w:type="dxa"/>
            <w:tcBorders>
              <w:top w:val="single" w:sz="8" w:space="0" w:color="000000"/>
              <w:left w:val="single" w:sz="8" w:space="0" w:color="000000"/>
              <w:bottom w:val="single" w:sz="8" w:space="0" w:color="000000"/>
              <w:right w:val="single" w:sz="8" w:space="0" w:color="000000"/>
            </w:tcBorders>
            <w:vAlign w:val="center"/>
            <w:hideMark/>
          </w:tcPr>
          <w:p w:rsidR="00AC11B0" w:rsidRPr="003B42FF" w:rsidRDefault="00AC11B0" w:rsidP="003328D9">
            <w:pPr>
              <w:jc w:val="right"/>
              <w:rPr>
                <w:rFonts w:eastAsiaTheme="minorEastAsia"/>
                <w:color w:val="000000" w:themeColor="text1"/>
                <w:kern w:val="0"/>
                <w:sz w:val="24"/>
                <w:szCs w:val="24"/>
              </w:rPr>
            </w:pPr>
            <w:r w:rsidRPr="003B42FF">
              <w:rPr>
                <w:rFonts w:eastAsiaTheme="minorEastAsia"/>
                <w:color w:val="000000" w:themeColor="text1"/>
                <w:sz w:val="24"/>
                <w:szCs w:val="24"/>
              </w:rPr>
              <w:t>-</w:t>
            </w:r>
          </w:p>
        </w:tc>
      </w:tr>
    </w:tbl>
    <w:p w:rsidR="00750D48" w:rsidRDefault="00750D48" w:rsidP="00EB374A">
      <w:pPr>
        <w:spacing w:line="360" w:lineRule="auto"/>
        <w:jc w:val="left"/>
        <w:rPr>
          <w:sz w:val="24"/>
        </w:rPr>
      </w:pPr>
      <w:r>
        <w:rPr>
          <w:b/>
          <w:sz w:val="24"/>
        </w:rPr>
        <w:t xml:space="preserve">7.2 </w:t>
      </w:r>
      <w:r>
        <w:rPr>
          <w:rFonts w:hint="eastAsia"/>
          <w:b/>
          <w:sz w:val="24"/>
        </w:rPr>
        <w:t>基金管理人运用固有资金投资本基金交易明细</w:t>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4"/>
        <w:gridCol w:w="1560"/>
        <w:gridCol w:w="1417"/>
        <w:gridCol w:w="1987"/>
        <w:gridCol w:w="1982"/>
        <w:gridCol w:w="1255"/>
      </w:tblGrid>
      <w:tr w:rsidR="00750D48" w:rsidTr="005602F3">
        <w:trPr>
          <w:trHeight w:val="340"/>
          <w:jc w:val="center"/>
        </w:trPr>
        <w:tc>
          <w:tcPr>
            <w:tcW w:w="1024" w:type="dxa"/>
            <w:vAlign w:val="center"/>
          </w:tcPr>
          <w:p w:rsidR="00750D48" w:rsidRPr="00B227EA" w:rsidRDefault="00750D48">
            <w:pPr>
              <w:pStyle w:val="ad"/>
              <w:adjustRightInd w:val="0"/>
              <w:snapToGrid w:val="0"/>
              <w:spacing w:line="360" w:lineRule="exact"/>
              <w:jc w:val="center"/>
              <w:rPr>
                <w:color w:val="000000"/>
              </w:rPr>
            </w:pPr>
            <w:r w:rsidRPr="00B227EA">
              <w:rPr>
                <w:color w:val="000000"/>
              </w:rPr>
              <w:t>序号</w:t>
            </w:r>
          </w:p>
        </w:tc>
        <w:tc>
          <w:tcPr>
            <w:tcW w:w="1560" w:type="dxa"/>
          </w:tcPr>
          <w:p w:rsidR="00750D48" w:rsidRPr="00B227EA" w:rsidRDefault="00750D48">
            <w:pPr>
              <w:adjustRightInd w:val="0"/>
              <w:snapToGrid w:val="0"/>
              <w:spacing w:line="360" w:lineRule="exact"/>
              <w:jc w:val="center"/>
              <w:rPr>
                <w:color w:val="000000"/>
                <w:kern w:val="0"/>
                <w:sz w:val="24"/>
                <w:szCs w:val="24"/>
              </w:rPr>
            </w:pPr>
            <w:r w:rsidRPr="00B227EA">
              <w:rPr>
                <w:color w:val="000000"/>
                <w:kern w:val="0"/>
                <w:sz w:val="24"/>
              </w:rPr>
              <w:t>交易方式</w:t>
            </w:r>
          </w:p>
        </w:tc>
        <w:tc>
          <w:tcPr>
            <w:tcW w:w="1417" w:type="dxa"/>
          </w:tcPr>
          <w:p w:rsidR="00750D48" w:rsidRPr="00B227EA" w:rsidRDefault="00750D48">
            <w:pPr>
              <w:adjustRightInd w:val="0"/>
              <w:snapToGrid w:val="0"/>
              <w:spacing w:line="360" w:lineRule="exact"/>
              <w:rPr>
                <w:color w:val="000000"/>
                <w:kern w:val="0"/>
                <w:sz w:val="24"/>
                <w:szCs w:val="24"/>
              </w:rPr>
            </w:pPr>
            <w:r w:rsidRPr="00B227EA">
              <w:rPr>
                <w:color w:val="000000"/>
                <w:kern w:val="0"/>
                <w:sz w:val="24"/>
              </w:rPr>
              <w:t>交易日期</w:t>
            </w:r>
          </w:p>
        </w:tc>
        <w:tc>
          <w:tcPr>
            <w:tcW w:w="1987" w:type="dxa"/>
          </w:tcPr>
          <w:p w:rsidR="00750D48" w:rsidRPr="00B227EA" w:rsidRDefault="00750D48">
            <w:pPr>
              <w:adjustRightInd w:val="0"/>
              <w:snapToGrid w:val="0"/>
              <w:spacing w:line="360" w:lineRule="exact"/>
              <w:jc w:val="center"/>
              <w:rPr>
                <w:color w:val="000000"/>
                <w:kern w:val="0"/>
                <w:sz w:val="24"/>
                <w:szCs w:val="24"/>
              </w:rPr>
            </w:pPr>
            <w:r w:rsidRPr="00B227EA">
              <w:rPr>
                <w:color w:val="000000"/>
                <w:kern w:val="0"/>
                <w:sz w:val="24"/>
              </w:rPr>
              <w:t>交易份额（份）</w:t>
            </w:r>
          </w:p>
        </w:tc>
        <w:tc>
          <w:tcPr>
            <w:tcW w:w="1982" w:type="dxa"/>
          </w:tcPr>
          <w:p w:rsidR="00750D48" w:rsidRPr="00B227EA" w:rsidRDefault="00750D48">
            <w:pPr>
              <w:adjustRightInd w:val="0"/>
              <w:snapToGrid w:val="0"/>
              <w:spacing w:line="360" w:lineRule="exact"/>
              <w:jc w:val="center"/>
              <w:rPr>
                <w:color w:val="000000"/>
                <w:kern w:val="0"/>
                <w:sz w:val="24"/>
                <w:szCs w:val="24"/>
              </w:rPr>
            </w:pPr>
            <w:r w:rsidRPr="00B227EA">
              <w:rPr>
                <w:color w:val="000000"/>
                <w:kern w:val="0"/>
                <w:sz w:val="24"/>
              </w:rPr>
              <w:t>交易金额（元）</w:t>
            </w:r>
          </w:p>
        </w:tc>
        <w:tc>
          <w:tcPr>
            <w:tcW w:w="1255" w:type="dxa"/>
            <w:vAlign w:val="center"/>
          </w:tcPr>
          <w:p w:rsidR="00750D48" w:rsidRPr="00B227EA" w:rsidRDefault="00750D48">
            <w:pPr>
              <w:adjustRightInd w:val="0"/>
              <w:snapToGrid w:val="0"/>
              <w:spacing w:line="360" w:lineRule="exact"/>
              <w:jc w:val="center"/>
              <w:rPr>
                <w:color w:val="000000"/>
                <w:kern w:val="0"/>
                <w:sz w:val="24"/>
                <w:szCs w:val="24"/>
              </w:rPr>
            </w:pPr>
            <w:r w:rsidRPr="00B227EA">
              <w:rPr>
                <w:color w:val="000000"/>
                <w:kern w:val="0"/>
                <w:sz w:val="24"/>
              </w:rPr>
              <w:t>适用费率</w:t>
            </w:r>
          </w:p>
        </w:tc>
      </w:tr>
      <w:tr w:rsidR="00CC5D1F">
        <w:trPr>
          <w:jc w:val="center"/>
        </w:trPr>
        <w:tc>
          <w:tcPr>
            <w:tcW w:w="0" w:type="auto"/>
            <w:vAlign w:val="center"/>
          </w:tcPr>
          <w:p w:rsidR="00CC5D1F" w:rsidRDefault="00FA6BEC">
            <w:pPr>
              <w:jc w:val="center"/>
            </w:pPr>
            <w:r>
              <w:rPr>
                <w:color w:val="000000"/>
                <w:sz w:val="24"/>
              </w:rPr>
              <w:t>1</w:t>
            </w:r>
          </w:p>
        </w:tc>
        <w:tc>
          <w:tcPr>
            <w:tcW w:w="0" w:type="auto"/>
            <w:vAlign w:val="center"/>
          </w:tcPr>
          <w:p w:rsidR="00CC5D1F" w:rsidRDefault="00FA6BEC">
            <w:pPr>
              <w:jc w:val="center"/>
            </w:pPr>
            <w:r>
              <w:rPr>
                <w:color w:val="000000"/>
                <w:sz w:val="24"/>
              </w:rPr>
              <w:t>赎回</w:t>
            </w:r>
          </w:p>
        </w:tc>
        <w:tc>
          <w:tcPr>
            <w:tcW w:w="0" w:type="auto"/>
            <w:vAlign w:val="center"/>
          </w:tcPr>
          <w:p w:rsidR="00CC5D1F" w:rsidRDefault="00FA6BEC">
            <w:pPr>
              <w:jc w:val="center"/>
            </w:pPr>
            <w:r>
              <w:rPr>
                <w:color w:val="000000"/>
                <w:sz w:val="24"/>
              </w:rPr>
              <w:t>2019-11-12</w:t>
            </w:r>
          </w:p>
        </w:tc>
        <w:tc>
          <w:tcPr>
            <w:tcW w:w="0" w:type="auto"/>
            <w:vAlign w:val="center"/>
          </w:tcPr>
          <w:p w:rsidR="00CC5D1F" w:rsidRDefault="00FA6BEC">
            <w:pPr>
              <w:jc w:val="right"/>
            </w:pPr>
            <w:r>
              <w:rPr>
                <w:color w:val="000000"/>
                <w:sz w:val="24"/>
              </w:rPr>
              <w:t>-20,000,000.00</w:t>
            </w:r>
          </w:p>
        </w:tc>
        <w:tc>
          <w:tcPr>
            <w:tcW w:w="0" w:type="auto"/>
            <w:vAlign w:val="center"/>
          </w:tcPr>
          <w:p w:rsidR="00CC5D1F" w:rsidRDefault="00FA6BEC">
            <w:pPr>
              <w:jc w:val="right"/>
            </w:pPr>
            <w:r>
              <w:rPr>
                <w:color w:val="000000"/>
                <w:sz w:val="24"/>
              </w:rPr>
              <w:t>-49,740,000.00</w:t>
            </w:r>
          </w:p>
        </w:tc>
        <w:tc>
          <w:tcPr>
            <w:tcW w:w="0" w:type="auto"/>
            <w:vAlign w:val="center"/>
          </w:tcPr>
          <w:p w:rsidR="00CC5D1F" w:rsidRDefault="00FA6BEC">
            <w:pPr>
              <w:jc w:val="center"/>
            </w:pPr>
            <w:r>
              <w:rPr>
                <w:color w:val="000000"/>
                <w:sz w:val="24"/>
              </w:rPr>
              <w:t>-</w:t>
            </w:r>
          </w:p>
        </w:tc>
      </w:tr>
      <w:tr w:rsidR="00CC5D1F">
        <w:trPr>
          <w:jc w:val="center"/>
        </w:trPr>
        <w:tc>
          <w:tcPr>
            <w:tcW w:w="0" w:type="auto"/>
            <w:vAlign w:val="center"/>
          </w:tcPr>
          <w:p w:rsidR="00CC5D1F" w:rsidRDefault="00FA6BEC">
            <w:pPr>
              <w:jc w:val="center"/>
            </w:pPr>
            <w:r>
              <w:rPr>
                <w:color w:val="000000"/>
                <w:sz w:val="24"/>
              </w:rPr>
              <w:t>2</w:t>
            </w:r>
          </w:p>
        </w:tc>
        <w:tc>
          <w:tcPr>
            <w:tcW w:w="0" w:type="auto"/>
            <w:vAlign w:val="center"/>
          </w:tcPr>
          <w:p w:rsidR="00CC5D1F" w:rsidRDefault="00FA6BEC">
            <w:pPr>
              <w:jc w:val="center"/>
            </w:pPr>
            <w:r>
              <w:rPr>
                <w:color w:val="000000"/>
                <w:sz w:val="24"/>
              </w:rPr>
              <w:t>赎回</w:t>
            </w:r>
          </w:p>
        </w:tc>
        <w:tc>
          <w:tcPr>
            <w:tcW w:w="0" w:type="auto"/>
            <w:vAlign w:val="center"/>
          </w:tcPr>
          <w:p w:rsidR="00CC5D1F" w:rsidRDefault="00FA6BEC">
            <w:pPr>
              <w:jc w:val="center"/>
            </w:pPr>
            <w:r>
              <w:rPr>
                <w:color w:val="000000"/>
                <w:sz w:val="24"/>
              </w:rPr>
              <w:t>2019-12-12</w:t>
            </w:r>
          </w:p>
        </w:tc>
        <w:tc>
          <w:tcPr>
            <w:tcW w:w="0" w:type="auto"/>
            <w:vAlign w:val="center"/>
          </w:tcPr>
          <w:p w:rsidR="00CC5D1F" w:rsidRDefault="00FA6BEC">
            <w:pPr>
              <w:jc w:val="right"/>
            </w:pPr>
            <w:r>
              <w:rPr>
                <w:color w:val="000000"/>
                <w:sz w:val="24"/>
              </w:rPr>
              <w:t>-20,000,000.00</w:t>
            </w:r>
          </w:p>
        </w:tc>
        <w:tc>
          <w:tcPr>
            <w:tcW w:w="0" w:type="auto"/>
            <w:vAlign w:val="center"/>
          </w:tcPr>
          <w:p w:rsidR="00CC5D1F" w:rsidRDefault="00FA6BEC">
            <w:pPr>
              <w:jc w:val="right"/>
            </w:pPr>
            <w:r>
              <w:rPr>
                <w:color w:val="000000"/>
                <w:sz w:val="24"/>
              </w:rPr>
              <w:t>-54,300,000.00</w:t>
            </w:r>
          </w:p>
        </w:tc>
        <w:tc>
          <w:tcPr>
            <w:tcW w:w="0" w:type="auto"/>
            <w:vAlign w:val="center"/>
          </w:tcPr>
          <w:p w:rsidR="00CC5D1F" w:rsidRDefault="00FA6BEC">
            <w:pPr>
              <w:jc w:val="center"/>
            </w:pPr>
            <w:r>
              <w:rPr>
                <w:color w:val="000000"/>
                <w:sz w:val="24"/>
              </w:rPr>
              <w:t>-</w:t>
            </w:r>
          </w:p>
        </w:tc>
      </w:tr>
      <w:tr w:rsidR="00CC5D1F">
        <w:trPr>
          <w:jc w:val="center"/>
        </w:trPr>
        <w:tc>
          <w:tcPr>
            <w:tcW w:w="0" w:type="auto"/>
            <w:vAlign w:val="center"/>
          </w:tcPr>
          <w:p w:rsidR="00CC5D1F" w:rsidRDefault="00FA6BEC">
            <w:pPr>
              <w:jc w:val="center"/>
            </w:pPr>
            <w:r>
              <w:rPr>
                <w:color w:val="000000"/>
                <w:sz w:val="24"/>
              </w:rPr>
              <w:t>3</w:t>
            </w:r>
          </w:p>
        </w:tc>
        <w:tc>
          <w:tcPr>
            <w:tcW w:w="0" w:type="auto"/>
            <w:vAlign w:val="center"/>
          </w:tcPr>
          <w:p w:rsidR="00CC5D1F" w:rsidRDefault="00FA6BEC">
            <w:pPr>
              <w:jc w:val="center"/>
            </w:pPr>
            <w:r>
              <w:rPr>
                <w:color w:val="000000"/>
                <w:sz w:val="24"/>
              </w:rPr>
              <w:t>赎回</w:t>
            </w:r>
          </w:p>
        </w:tc>
        <w:tc>
          <w:tcPr>
            <w:tcW w:w="0" w:type="auto"/>
            <w:vAlign w:val="center"/>
          </w:tcPr>
          <w:p w:rsidR="00CC5D1F" w:rsidRDefault="00FA6BEC">
            <w:pPr>
              <w:jc w:val="center"/>
            </w:pPr>
            <w:r>
              <w:rPr>
                <w:color w:val="000000"/>
                <w:sz w:val="24"/>
              </w:rPr>
              <w:t>2019-12-24</w:t>
            </w:r>
          </w:p>
        </w:tc>
        <w:tc>
          <w:tcPr>
            <w:tcW w:w="0" w:type="auto"/>
            <w:vAlign w:val="center"/>
          </w:tcPr>
          <w:p w:rsidR="00CC5D1F" w:rsidRDefault="00FA6BEC">
            <w:pPr>
              <w:jc w:val="right"/>
            </w:pPr>
            <w:r>
              <w:rPr>
                <w:color w:val="000000"/>
                <w:sz w:val="24"/>
              </w:rPr>
              <w:t>-21,530,929.03</w:t>
            </w:r>
          </w:p>
        </w:tc>
        <w:tc>
          <w:tcPr>
            <w:tcW w:w="0" w:type="auto"/>
            <w:vAlign w:val="center"/>
          </w:tcPr>
          <w:p w:rsidR="00CC5D1F" w:rsidRDefault="00FA6BEC">
            <w:pPr>
              <w:jc w:val="right"/>
            </w:pPr>
            <w:r>
              <w:rPr>
                <w:color w:val="000000"/>
                <w:sz w:val="24"/>
              </w:rPr>
              <w:t>-62,310,508.61</w:t>
            </w:r>
          </w:p>
        </w:tc>
        <w:tc>
          <w:tcPr>
            <w:tcW w:w="0" w:type="auto"/>
            <w:vAlign w:val="center"/>
          </w:tcPr>
          <w:p w:rsidR="00CC5D1F" w:rsidRDefault="00FA6BEC">
            <w:pPr>
              <w:jc w:val="center"/>
            </w:pPr>
            <w:r>
              <w:rPr>
                <w:color w:val="000000"/>
                <w:sz w:val="24"/>
              </w:rPr>
              <w:t>-</w:t>
            </w:r>
          </w:p>
        </w:tc>
      </w:tr>
      <w:tr w:rsidR="00750D48" w:rsidTr="005602F3">
        <w:trPr>
          <w:trHeight w:val="340"/>
          <w:jc w:val="center"/>
        </w:trPr>
        <w:tc>
          <w:tcPr>
            <w:tcW w:w="1024" w:type="dxa"/>
            <w:vAlign w:val="center"/>
          </w:tcPr>
          <w:p w:rsidR="00750D48" w:rsidRPr="00B227EA" w:rsidRDefault="00750D48">
            <w:pPr>
              <w:pStyle w:val="ad"/>
              <w:adjustRightInd w:val="0"/>
              <w:snapToGrid w:val="0"/>
              <w:spacing w:line="360" w:lineRule="exact"/>
              <w:jc w:val="center"/>
              <w:rPr>
                <w:color w:val="000000"/>
              </w:rPr>
            </w:pPr>
            <w:r w:rsidRPr="00B227EA">
              <w:rPr>
                <w:color w:val="000000"/>
              </w:rPr>
              <w:t>合计</w:t>
            </w:r>
          </w:p>
        </w:tc>
        <w:tc>
          <w:tcPr>
            <w:tcW w:w="1560" w:type="dxa"/>
          </w:tcPr>
          <w:p w:rsidR="00750D48" w:rsidRPr="00B227EA" w:rsidRDefault="00750D48">
            <w:pPr>
              <w:adjustRightInd w:val="0"/>
              <w:snapToGrid w:val="0"/>
              <w:spacing w:line="360" w:lineRule="exact"/>
              <w:jc w:val="right"/>
              <w:rPr>
                <w:color w:val="0000FF"/>
                <w:kern w:val="0"/>
                <w:sz w:val="18"/>
                <w:szCs w:val="24"/>
              </w:rPr>
            </w:pPr>
          </w:p>
        </w:tc>
        <w:tc>
          <w:tcPr>
            <w:tcW w:w="1417" w:type="dxa"/>
          </w:tcPr>
          <w:p w:rsidR="00750D48" w:rsidRPr="00B227EA" w:rsidRDefault="00750D48">
            <w:pPr>
              <w:adjustRightInd w:val="0"/>
              <w:snapToGrid w:val="0"/>
              <w:spacing w:line="360" w:lineRule="exact"/>
              <w:jc w:val="right"/>
              <w:rPr>
                <w:color w:val="0000FF"/>
                <w:kern w:val="0"/>
                <w:sz w:val="18"/>
                <w:szCs w:val="24"/>
              </w:rPr>
            </w:pPr>
          </w:p>
        </w:tc>
        <w:tc>
          <w:tcPr>
            <w:tcW w:w="1987" w:type="dxa"/>
          </w:tcPr>
          <w:p w:rsidR="00750D48" w:rsidRPr="00B227EA" w:rsidRDefault="00750D48">
            <w:pPr>
              <w:adjustRightInd w:val="0"/>
              <w:snapToGrid w:val="0"/>
              <w:spacing w:line="360" w:lineRule="exact"/>
              <w:jc w:val="right"/>
              <w:rPr>
                <w:color w:val="000000"/>
                <w:sz w:val="24"/>
                <w:szCs w:val="24"/>
              </w:rPr>
            </w:pPr>
            <w:r w:rsidRPr="00B227EA">
              <w:rPr>
                <w:color w:val="000000"/>
                <w:sz w:val="24"/>
              </w:rPr>
              <w:t>-61,530,929.03</w:t>
            </w:r>
          </w:p>
        </w:tc>
        <w:tc>
          <w:tcPr>
            <w:tcW w:w="1982" w:type="dxa"/>
          </w:tcPr>
          <w:p w:rsidR="00750D48" w:rsidRPr="00B227EA" w:rsidRDefault="00750D48">
            <w:pPr>
              <w:adjustRightInd w:val="0"/>
              <w:snapToGrid w:val="0"/>
              <w:spacing w:line="360" w:lineRule="exact"/>
              <w:jc w:val="right"/>
              <w:rPr>
                <w:color w:val="000000"/>
                <w:sz w:val="24"/>
                <w:szCs w:val="24"/>
              </w:rPr>
            </w:pPr>
            <w:r w:rsidRPr="00B227EA">
              <w:rPr>
                <w:color w:val="000000"/>
                <w:sz w:val="24"/>
              </w:rPr>
              <w:t>-166,350,508.61</w:t>
            </w:r>
          </w:p>
        </w:tc>
        <w:tc>
          <w:tcPr>
            <w:tcW w:w="1255" w:type="dxa"/>
            <w:vAlign w:val="center"/>
          </w:tcPr>
          <w:p w:rsidR="00750D48" w:rsidRPr="00B227EA" w:rsidRDefault="00750D48">
            <w:pPr>
              <w:adjustRightInd w:val="0"/>
              <w:snapToGrid w:val="0"/>
              <w:spacing w:line="360" w:lineRule="exact"/>
              <w:jc w:val="right"/>
              <w:rPr>
                <w:color w:val="0000FF"/>
                <w:kern w:val="0"/>
                <w:sz w:val="18"/>
                <w:szCs w:val="24"/>
              </w:rPr>
            </w:pPr>
          </w:p>
        </w:tc>
      </w:tr>
    </w:tbl>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8  </w:t>
      </w:r>
      <w:r w:rsidRPr="00264E55">
        <w:rPr>
          <w:rFonts w:ascii="宋体" w:hAnsi="宋体" w:hint="eastAsia"/>
          <w:color w:val="000000"/>
          <w:kern w:val="0"/>
          <w:sz w:val="24"/>
          <w:szCs w:val="24"/>
        </w:rPr>
        <w:t>备查文件目录</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8.1 </w:t>
      </w:r>
      <w:r w:rsidRPr="00264E55">
        <w:rPr>
          <w:rFonts w:ascii="宋体" w:hAnsi="宋体" w:hint="eastAsia"/>
          <w:b/>
          <w:bCs/>
          <w:color w:val="000000"/>
          <w:kern w:val="0"/>
          <w:sz w:val="24"/>
          <w:szCs w:val="24"/>
        </w:rPr>
        <w:t>备查文件目录</w:t>
      </w:r>
    </w:p>
    <w:p w:rsidR="00CC5D1F" w:rsidRDefault="00FA6BEC">
      <w:pPr>
        <w:spacing w:line="360" w:lineRule="auto"/>
        <w:ind w:firstLineChars="200" w:firstLine="480"/>
        <w:rPr>
          <w:color w:val="000000"/>
          <w:sz w:val="24"/>
          <w:szCs w:val="24"/>
        </w:rPr>
      </w:pPr>
      <w:r>
        <w:rPr>
          <w:color w:val="000000"/>
          <w:sz w:val="24"/>
          <w:szCs w:val="24"/>
        </w:rPr>
        <w:t>1.</w:t>
      </w:r>
      <w:r>
        <w:rPr>
          <w:color w:val="000000"/>
          <w:sz w:val="24"/>
          <w:szCs w:val="24"/>
        </w:rPr>
        <w:t>中国证监会核准易方达新兴成长灵活配置混合型证券投资基金募集的文件；</w:t>
      </w:r>
    </w:p>
    <w:p w:rsidR="00CC5D1F" w:rsidRDefault="00FA6BEC">
      <w:pPr>
        <w:spacing w:line="360" w:lineRule="auto"/>
        <w:ind w:firstLineChars="200" w:firstLine="480"/>
        <w:rPr>
          <w:color w:val="000000"/>
          <w:sz w:val="24"/>
          <w:szCs w:val="24"/>
        </w:rPr>
      </w:pPr>
      <w:r>
        <w:rPr>
          <w:color w:val="000000"/>
          <w:sz w:val="24"/>
          <w:szCs w:val="24"/>
        </w:rPr>
        <w:t>2.</w:t>
      </w:r>
      <w:r>
        <w:rPr>
          <w:color w:val="000000"/>
          <w:sz w:val="24"/>
          <w:szCs w:val="24"/>
        </w:rPr>
        <w:t>《易方达新兴成长灵活配置混合型证券投资基金基金合同》；</w:t>
      </w:r>
    </w:p>
    <w:p w:rsidR="00CC5D1F" w:rsidRDefault="00FA6BEC">
      <w:pPr>
        <w:spacing w:line="360" w:lineRule="auto"/>
        <w:ind w:firstLineChars="200" w:firstLine="480"/>
        <w:rPr>
          <w:color w:val="000000"/>
          <w:sz w:val="24"/>
          <w:szCs w:val="24"/>
        </w:rPr>
      </w:pPr>
      <w:r>
        <w:rPr>
          <w:color w:val="000000"/>
          <w:sz w:val="24"/>
          <w:szCs w:val="24"/>
        </w:rPr>
        <w:t>3.</w:t>
      </w:r>
      <w:r>
        <w:rPr>
          <w:color w:val="000000"/>
          <w:sz w:val="24"/>
          <w:szCs w:val="24"/>
        </w:rPr>
        <w:t>《易方达新兴成长灵活配置混合型证券投资基金托管协议》；</w:t>
      </w:r>
    </w:p>
    <w:p w:rsidR="00CC5D1F" w:rsidRDefault="00FA6BEC">
      <w:pPr>
        <w:spacing w:line="360" w:lineRule="auto"/>
        <w:ind w:firstLineChars="200" w:firstLine="480"/>
        <w:rPr>
          <w:color w:val="000000"/>
          <w:sz w:val="24"/>
          <w:szCs w:val="24"/>
        </w:rPr>
      </w:pPr>
      <w:r>
        <w:rPr>
          <w:color w:val="000000"/>
          <w:sz w:val="24"/>
          <w:szCs w:val="24"/>
        </w:rPr>
        <w:t>4.</w:t>
      </w:r>
      <w:r>
        <w:rPr>
          <w:color w:val="000000"/>
          <w:sz w:val="24"/>
          <w:szCs w:val="24"/>
        </w:rPr>
        <w:t>《易方达基金管理有限公司开放式基金业务规则》；</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5.</w:t>
      </w:r>
      <w:r w:rsidRPr="006C56AA">
        <w:rPr>
          <w:color w:val="000000"/>
          <w:sz w:val="24"/>
          <w:szCs w:val="24"/>
        </w:rPr>
        <w:t>基金管理人业务资格批件、营业执照。</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8.2 </w:t>
      </w:r>
      <w:r w:rsidRPr="00264E55">
        <w:rPr>
          <w:rFonts w:ascii="宋体" w:hAnsi="宋体" w:hint="eastAsia"/>
          <w:b/>
          <w:bCs/>
          <w:color w:val="000000"/>
          <w:kern w:val="0"/>
          <w:sz w:val="24"/>
          <w:szCs w:val="24"/>
        </w:rPr>
        <w:t>存放地点</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广州市天河区珠江新城珠江东路</w:t>
      </w:r>
      <w:r w:rsidRPr="006C56AA">
        <w:rPr>
          <w:color w:val="000000"/>
          <w:sz w:val="24"/>
          <w:szCs w:val="24"/>
        </w:rPr>
        <w:t>30</w:t>
      </w:r>
      <w:r w:rsidRPr="006C56AA">
        <w:rPr>
          <w:color w:val="000000"/>
          <w:sz w:val="24"/>
          <w:szCs w:val="24"/>
        </w:rPr>
        <w:t>号广州银行大厦</w:t>
      </w:r>
      <w:r w:rsidRPr="006C56AA">
        <w:rPr>
          <w:color w:val="000000"/>
          <w:sz w:val="24"/>
          <w:szCs w:val="24"/>
        </w:rPr>
        <w:t>40-43</w:t>
      </w:r>
      <w:r w:rsidRPr="006C56AA">
        <w:rPr>
          <w:color w:val="000000"/>
          <w:sz w:val="24"/>
          <w:szCs w:val="24"/>
        </w:rPr>
        <w:t>楼。</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8.3 </w:t>
      </w:r>
      <w:r w:rsidRPr="00264E55">
        <w:rPr>
          <w:rFonts w:ascii="宋体" w:hAnsi="宋体" w:hint="eastAsia"/>
          <w:b/>
          <w:bCs/>
          <w:color w:val="000000"/>
          <w:kern w:val="0"/>
          <w:sz w:val="24"/>
          <w:szCs w:val="24"/>
        </w:rPr>
        <w:t>查阅方式</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投资者可在营业时间免费查阅，也可按工本费购买复印件。</w:t>
      </w: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C71497">
      <w:pPr>
        <w:spacing w:line="360" w:lineRule="auto"/>
        <w:jc w:val="right"/>
        <w:rPr>
          <w:rFonts w:ascii="宋体" w:hAnsi="宋体"/>
          <w:b/>
          <w:bCs/>
          <w:sz w:val="24"/>
          <w:szCs w:val="24"/>
        </w:rPr>
      </w:pPr>
      <w:r w:rsidRPr="00264E55">
        <w:rPr>
          <w:rFonts w:ascii="宋体" w:hAnsi="宋体"/>
          <w:b/>
          <w:bCs/>
          <w:sz w:val="24"/>
          <w:szCs w:val="24"/>
        </w:rPr>
        <w:t>易方达基金管理有限公司</w:t>
      </w:r>
    </w:p>
    <w:p w:rsidR="00750D48" w:rsidRPr="00191817" w:rsidRDefault="00750D48" w:rsidP="00191817">
      <w:pPr>
        <w:spacing w:line="360" w:lineRule="auto"/>
        <w:jc w:val="right"/>
        <w:rPr>
          <w:rFonts w:ascii="宋体" w:hAnsi="宋体"/>
          <w:b/>
          <w:bCs/>
          <w:sz w:val="24"/>
          <w:szCs w:val="24"/>
        </w:rPr>
      </w:pPr>
      <w:r w:rsidRPr="00264E55">
        <w:rPr>
          <w:rFonts w:ascii="宋体" w:hAnsi="宋体"/>
          <w:b/>
          <w:bCs/>
          <w:sz w:val="24"/>
          <w:szCs w:val="24"/>
        </w:rPr>
        <w:t>二〇二〇年一月十八日</w:t>
      </w:r>
    </w:p>
    <w:sectPr w:rsidR="00750D48" w:rsidRPr="00191817" w:rsidSect="00304A12">
      <w:footerReference w:type="default" r:id="rId11"/>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0DE" w:rsidRDefault="009510DE" w:rsidP="00876D65">
      <w:r>
        <w:separator/>
      </w:r>
    </w:p>
  </w:endnote>
  <w:endnote w:type="continuationSeparator" w:id="0">
    <w:p w:rsidR="009510DE" w:rsidRDefault="009510DE"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Arial Unicode MS"/>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Default="003328D9" w:rsidP="00EF56B5">
    <w:pPr>
      <w:pStyle w:val="a6"/>
      <w:framePr w:wrap="auto" w:vAnchor="text" w:hAnchor="margin" w:xAlign="center" w:y="1"/>
      <w:rPr>
        <w:rStyle w:val="a7"/>
      </w:rPr>
    </w:pPr>
    <w:r>
      <w:rPr>
        <w:rStyle w:val="a7"/>
        <w:rFonts w:hint="eastAsia"/>
      </w:rPr>
      <w:t>第</w:t>
    </w:r>
    <w:r>
      <w:rPr>
        <w:rStyle w:val="a7"/>
      </w:rPr>
      <w:fldChar w:fldCharType="begin"/>
    </w:r>
    <w:r>
      <w:rPr>
        <w:rStyle w:val="a7"/>
      </w:rPr>
      <w:instrText xml:space="preserve">PAGE  </w:instrText>
    </w:r>
    <w:r>
      <w:rPr>
        <w:rStyle w:val="a7"/>
      </w:rPr>
      <w:fldChar w:fldCharType="separate"/>
    </w:r>
    <w:r w:rsidR="00FA6BEC">
      <w:rPr>
        <w:rStyle w:val="a7"/>
        <w:noProof/>
      </w:rPr>
      <w:t>1</w:t>
    </w:r>
    <w:r>
      <w:rPr>
        <w:rStyle w:val="a7"/>
      </w:rPr>
      <w:fldChar w:fldCharType="end"/>
    </w:r>
    <w:r>
      <w:rPr>
        <w:rStyle w:val="a7"/>
        <w:rFonts w:hint="eastAsia"/>
      </w:rPr>
      <w:t>页共</w:t>
    </w:r>
    <w:r w:rsidR="00FA6BEC">
      <w:fldChar w:fldCharType="begin"/>
    </w:r>
    <w:r w:rsidR="00FA6BEC">
      <w:instrText xml:space="preserve"> NUMPAGES  \* Arabic  \* MERGEFORMAT </w:instrText>
    </w:r>
    <w:r w:rsidR="00FA6BEC">
      <w:fldChar w:fldCharType="separate"/>
    </w:r>
    <w:r w:rsidR="00FA6BEC" w:rsidRPr="00FA6BEC">
      <w:rPr>
        <w:rStyle w:val="a7"/>
        <w:noProof/>
      </w:rPr>
      <w:t>1</w:t>
    </w:r>
    <w:r w:rsidR="00FA6BEC">
      <w:rPr>
        <w:rStyle w:val="a7"/>
        <w:noProof/>
      </w:rPr>
      <w:fldChar w:fldCharType="end"/>
    </w:r>
    <w:r>
      <w:rPr>
        <w:rStyle w:val="a7"/>
        <w:rFonts w:hint="eastAsia"/>
      </w:rPr>
      <w:t>页</w:t>
    </w:r>
  </w:p>
  <w:p w:rsidR="003328D9" w:rsidRPr="00EF56B5" w:rsidRDefault="003328D9" w:rsidP="00EF56B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Default="003328D9">
    <w:pPr>
      <w:pStyle w:val="a6"/>
      <w:framePr w:wrap="auto" w:vAnchor="text" w:hAnchor="margin" w:xAlign="center" w:y="1"/>
      <w:rPr>
        <w:rStyle w:val="a7"/>
      </w:rPr>
    </w:pPr>
    <w:r>
      <w:rPr>
        <w:rStyle w:val="a7"/>
        <w:rFonts w:hint="eastAsia"/>
      </w:rPr>
      <w:t>第</w:t>
    </w:r>
    <w:r>
      <w:rPr>
        <w:rStyle w:val="a7"/>
      </w:rPr>
      <w:fldChar w:fldCharType="begin"/>
    </w:r>
    <w:r>
      <w:rPr>
        <w:rStyle w:val="a7"/>
      </w:rPr>
      <w:instrText xml:space="preserve">PAGE  </w:instrText>
    </w:r>
    <w:r>
      <w:rPr>
        <w:rStyle w:val="a7"/>
      </w:rPr>
      <w:fldChar w:fldCharType="separate"/>
    </w:r>
    <w:r w:rsidR="00FA6BEC">
      <w:rPr>
        <w:rStyle w:val="a7"/>
        <w:noProof/>
      </w:rPr>
      <w:t>2</w:t>
    </w:r>
    <w:r>
      <w:rPr>
        <w:rStyle w:val="a7"/>
      </w:rPr>
      <w:fldChar w:fldCharType="end"/>
    </w:r>
    <w:r>
      <w:rPr>
        <w:rStyle w:val="a7"/>
        <w:rFonts w:hint="eastAsia"/>
      </w:rPr>
      <w:t>页共</w:t>
    </w:r>
    <w:fldSimple w:instr=" NUMPAGES  \* Arabic  \* MERGEFORMAT ">
      <w:r w:rsidR="00FA6BEC" w:rsidRPr="00FA6BEC">
        <w:rPr>
          <w:rStyle w:val="a7"/>
          <w:noProof/>
        </w:rPr>
        <w:t>2</w:t>
      </w:r>
    </w:fldSimple>
    <w:r>
      <w:rPr>
        <w:rStyle w:val="a7"/>
        <w:rFonts w:hint="eastAsia"/>
      </w:rPr>
      <w:t>页</w:t>
    </w:r>
  </w:p>
  <w:p w:rsidR="003328D9" w:rsidRDefault="003328D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0DE" w:rsidRDefault="009510DE" w:rsidP="00876D65">
      <w:r>
        <w:separator/>
      </w:r>
    </w:p>
  </w:footnote>
  <w:footnote w:type="continuationSeparator" w:id="0">
    <w:p w:rsidR="009510DE" w:rsidRDefault="009510DE"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Pr="00093704" w:rsidRDefault="003328D9" w:rsidP="00090A26">
    <w:pPr>
      <w:pStyle w:val="a9"/>
      <w:pBdr>
        <w:bottom w:val="single" w:sz="6" w:space="0" w:color="auto"/>
      </w:pBdr>
      <w:jc w:val="right"/>
    </w:pPr>
    <w:r w:rsidRPr="00093704">
      <w:t>易方达新兴成长灵活配置混合型证券投资基金</w:t>
    </w:r>
    <w:r w:rsidRPr="00093704">
      <w:t>2019</w:t>
    </w:r>
    <w:r w:rsidRPr="00093704">
      <w:t>年第</w:t>
    </w:r>
    <w:r w:rsidRPr="00093704">
      <w:t>4</w:t>
    </w:r>
    <w:r w:rsidRPr="00093704">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hint="default"/>
      </w:rPr>
    </w:lvl>
    <w:lvl w:ilvl="2" w:tplc="04090005">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start w:val="1"/>
      <w:numFmt w:val="bullet"/>
      <w:lvlText w:val=""/>
      <w:lvlJc w:val="left"/>
      <w:pPr>
        <w:tabs>
          <w:tab w:val="num" w:pos="2940"/>
        </w:tabs>
        <w:ind w:left="2940" w:hanging="420"/>
      </w:pPr>
      <w:rPr>
        <w:rFonts w:ascii="Wingdings" w:hAnsi="Wingdings" w:hint="default"/>
      </w:rPr>
    </w:lvl>
    <w:lvl w:ilvl="6" w:tplc="04090001">
      <w:start w:val="1"/>
      <w:numFmt w:val="bullet"/>
      <w:lvlText w:val=""/>
      <w:lvlJc w:val="left"/>
      <w:pPr>
        <w:tabs>
          <w:tab w:val="num" w:pos="3360"/>
        </w:tabs>
        <w:ind w:left="3360" w:hanging="420"/>
      </w:pPr>
      <w:rPr>
        <w:rFonts w:ascii="Wingdings" w:hAnsi="Wingdings" w:hint="default"/>
      </w:rPr>
    </w:lvl>
    <w:lvl w:ilvl="7" w:tplc="04090003">
      <w:start w:val="1"/>
      <w:numFmt w:val="bullet"/>
      <w:lvlText w:val=""/>
      <w:lvlJc w:val="left"/>
      <w:pPr>
        <w:tabs>
          <w:tab w:val="num" w:pos="3780"/>
        </w:tabs>
        <w:ind w:left="3780" w:hanging="420"/>
      </w:pPr>
      <w:rPr>
        <w:rFonts w:ascii="Wingdings" w:hAnsi="Wingdings" w:hint="default"/>
      </w:rPr>
    </w:lvl>
    <w:lvl w:ilvl="8" w:tplc="04090005">
      <w:start w:val="1"/>
      <w:numFmt w:val="bullet"/>
      <w:lvlText w:val=""/>
      <w:lvlJc w:val="left"/>
      <w:pPr>
        <w:tabs>
          <w:tab w:val="num" w:pos="4200"/>
        </w:tabs>
        <w:ind w:left="4200" w:hanging="420"/>
      </w:pPr>
      <w:rPr>
        <w:rFonts w:ascii="Wingdings" w:hAnsi="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szCs w:val="24"/>
      </w:rPr>
    </w:lvl>
    <w:lvl w:ilvl="1" w:tplc="04090019">
      <w:start w:val="1"/>
      <w:numFmt w:val="lowerLetter"/>
      <w:lvlText w:val="%2)"/>
      <w:lvlJc w:val="left"/>
      <w:pPr>
        <w:tabs>
          <w:tab w:val="num" w:pos="1320"/>
        </w:tabs>
        <w:ind w:left="1320" w:hanging="420"/>
      </w:pPr>
      <w:rPr>
        <w:rFonts w:cs="Times New Roman"/>
      </w:rPr>
    </w:lvl>
    <w:lvl w:ilvl="2" w:tplc="0409001B">
      <w:start w:val="1"/>
      <w:numFmt w:val="lowerRoman"/>
      <w:lvlText w:val="%3."/>
      <w:lvlJc w:val="right"/>
      <w:pPr>
        <w:tabs>
          <w:tab w:val="num" w:pos="1740"/>
        </w:tabs>
        <w:ind w:left="1740" w:hanging="420"/>
      </w:pPr>
      <w:rPr>
        <w:rFonts w:cs="Times New Roman"/>
      </w:rPr>
    </w:lvl>
    <w:lvl w:ilvl="3" w:tplc="0409000F">
      <w:start w:val="1"/>
      <w:numFmt w:val="decimal"/>
      <w:lvlText w:val="%4."/>
      <w:lvlJc w:val="left"/>
      <w:pPr>
        <w:tabs>
          <w:tab w:val="num" w:pos="2160"/>
        </w:tabs>
        <w:ind w:left="2160" w:hanging="420"/>
      </w:pPr>
      <w:rPr>
        <w:rFonts w:cs="Times New Roman"/>
      </w:rPr>
    </w:lvl>
    <w:lvl w:ilvl="4" w:tplc="04090019">
      <w:start w:val="1"/>
      <w:numFmt w:val="lowerLetter"/>
      <w:lvlText w:val="%5)"/>
      <w:lvlJc w:val="left"/>
      <w:pPr>
        <w:tabs>
          <w:tab w:val="num" w:pos="2580"/>
        </w:tabs>
        <w:ind w:left="2580" w:hanging="420"/>
      </w:pPr>
      <w:rPr>
        <w:rFonts w:cs="Times New Roman"/>
      </w:rPr>
    </w:lvl>
    <w:lvl w:ilvl="5" w:tplc="0409001B">
      <w:start w:val="1"/>
      <w:numFmt w:val="lowerRoman"/>
      <w:lvlText w:val="%6."/>
      <w:lvlJc w:val="right"/>
      <w:pPr>
        <w:tabs>
          <w:tab w:val="num" w:pos="3000"/>
        </w:tabs>
        <w:ind w:left="3000" w:hanging="420"/>
      </w:pPr>
      <w:rPr>
        <w:rFonts w:cs="Times New Roman"/>
      </w:rPr>
    </w:lvl>
    <w:lvl w:ilvl="6" w:tplc="0409000F">
      <w:start w:val="1"/>
      <w:numFmt w:val="decimal"/>
      <w:lvlText w:val="%7."/>
      <w:lvlJc w:val="left"/>
      <w:pPr>
        <w:tabs>
          <w:tab w:val="num" w:pos="3420"/>
        </w:tabs>
        <w:ind w:left="3420" w:hanging="420"/>
      </w:pPr>
      <w:rPr>
        <w:rFonts w:cs="Times New Roman"/>
      </w:rPr>
    </w:lvl>
    <w:lvl w:ilvl="7" w:tplc="04090019">
      <w:start w:val="1"/>
      <w:numFmt w:val="lowerLetter"/>
      <w:lvlText w:val="%8)"/>
      <w:lvlJc w:val="left"/>
      <w:pPr>
        <w:tabs>
          <w:tab w:val="num" w:pos="3840"/>
        </w:tabs>
        <w:ind w:left="3840" w:hanging="420"/>
      </w:pPr>
      <w:rPr>
        <w:rFonts w:cs="Times New Roman"/>
      </w:rPr>
    </w:lvl>
    <w:lvl w:ilvl="8" w:tplc="0409001B">
      <w:start w:val="1"/>
      <w:numFmt w:val="lowerRoman"/>
      <w:lvlText w:val="%9."/>
      <w:lvlJc w:val="right"/>
      <w:pPr>
        <w:tabs>
          <w:tab w:val="num" w:pos="4260"/>
        </w:tabs>
        <w:ind w:left="4260" w:hanging="420"/>
      </w:pPr>
      <w:rPr>
        <w:rFonts w:cs="Times New Roman"/>
      </w:r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bordersDoNotSurroundHeader/>
  <w:bordersDoNotSurroundFooter/>
  <w:revisionView w:inkAnnotation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061AC"/>
    <w:rsid w:val="00013E6E"/>
    <w:rsid w:val="00014099"/>
    <w:rsid w:val="000160C5"/>
    <w:rsid w:val="000210E7"/>
    <w:rsid w:val="000212F7"/>
    <w:rsid w:val="00031EBB"/>
    <w:rsid w:val="00033B8D"/>
    <w:rsid w:val="00043852"/>
    <w:rsid w:val="000450DD"/>
    <w:rsid w:val="000463DE"/>
    <w:rsid w:val="000553BD"/>
    <w:rsid w:val="0008313A"/>
    <w:rsid w:val="000875EA"/>
    <w:rsid w:val="000907D2"/>
    <w:rsid w:val="00090A26"/>
    <w:rsid w:val="00093704"/>
    <w:rsid w:val="00095F2A"/>
    <w:rsid w:val="000A2B53"/>
    <w:rsid w:val="000A438A"/>
    <w:rsid w:val="000B5257"/>
    <w:rsid w:val="000B624F"/>
    <w:rsid w:val="000B73C6"/>
    <w:rsid w:val="000C190B"/>
    <w:rsid w:val="000C1E17"/>
    <w:rsid w:val="000C493C"/>
    <w:rsid w:val="000C5216"/>
    <w:rsid w:val="000D0E6C"/>
    <w:rsid w:val="000D3ED4"/>
    <w:rsid w:val="000F2DE1"/>
    <w:rsid w:val="000F6CC8"/>
    <w:rsid w:val="00111261"/>
    <w:rsid w:val="00133843"/>
    <w:rsid w:val="00137452"/>
    <w:rsid w:val="00142CAF"/>
    <w:rsid w:val="00144F93"/>
    <w:rsid w:val="00147376"/>
    <w:rsid w:val="00150E7E"/>
    <w:rsid w:val="00154BE1"/>
    <w:rsid w:val="00154C17"/>
    <w:rsid w:val="00160EDC"/>
    <w:rsid w:val="0016180A"/>
    <w:rsid w:val="001675CD"/>
    <w:rsid w:val="00170435"/>
    <w:rsid w:val="00171EF0"/>
    <w:rsid w:val="001761D2"/>
    <w:rsid w:val="001830D7"/>
    <w:rsid w:val="00185A34"/>
    <w:rsid w:val="001878B0"/>
    <w:rsid w:val="0019049E"/>
    <w:rsid w:val="00191817"/>
    <w:rsid w:val="00191BDE"/>
    <w:rsid w:val="00196E6C"/>
    <w:rsid w:val="001A73E8"/>
    <w:rsid w:val="001B0A62"/>
    <w:rsid w:val="001B2F35"/>
    <w:rsid w:val="001B3C1C"/>
    <w:rsid w:val="001B6E7E"/>
    <w:rsid w:val="001C0993"/>
    <w:rsid w:val="001C79F2"/>
    <w:rsid w:val="001C7E00"/>
    <w:rsid w:val="001D0DB0"/>
    <w:rsid w:val="001D5B8F"/>
    <w:rsid w:val="001D63BB"/>
    <w:rsid w:val="001D6A4B"/>
    <w:rsid w:val="001D74DB"/>
    <w:rsid w:val="001E4630"/>
    <w:rsid w:val="001F0964"/>
    <w:rsid w:val="001F0EB2"/>
    <w:rsid w:val="001F30DA"/>
    <w:rsid w:val="001F5DC5"/>
    <w:rsid w:val="001F5F5D"/>
    <w:rsid w:val="00200FAB"/>
    <w:rsid w:val="00213821"/>
    <w:rsid w:val="00217B92"/>
    <w:rsid w:val="002279D3"/>
    <w:rsid w:val="00232B03"/>
    <w:rsid w:val="00240248"/>
    <w:rsid w:val="0024363B"/>
    <w:rsid w:val="00261111"/>
    <w:rsid w:val="00264E55"/>
    <w:rsid w:val="002661ED"/>
    <w:rsid w:val="00266337"/>
    <w:rsid w:val="00275745"/>
    <w:rsid w:val="0027688F"/>
    <w:rsid w:val="00276E44"/>
    <w:rsid w:val="00277FAE"/>
    <w:rsid w:val="00280C9F"/>
    <w:rsid w:val="00286BEF"/>
    <w:rsid w:val="00286FA2"/>
    <w:rsid w:val="002918E3"/>
    <w:rsid w:val="002973A9"/>
    <w:rsid w:val="002B1D1A"/>
    <w:rsid w:val="002C28F2"/>
    <w:rsid w:val="002C5960"/>
    <w:rsid w:val="002D6FB6"/>
    <w:rsid w:val="002E2255"/>
    <w:rsid w:val="002E3B09"/>
    <w:rsid w:val="002E4594"/>
    <w:rsid w:val="002E52B3"/>
    <w:rsid w:val="00303679"/>
    <w:rsid w:val="00304A12"/>
    <w:rsid w:val="00305636"/>
    <w:rsid w:val="00311662"/>
    <w:rsid w:val="00312A9F"/>
    <w:rsid w:val="00312F1C"/>
    <w:rsid w:val="00312F30"/>
    <w:rsid w:val="00315D5D"/>
    <w:rsid w:val="00316484"/>
    <w:rsid w:val="00316E01"/>
    <w:rsid w:val="00317067"/>
    <w:rsid w:val="00320300"/>
    <w:rsid w:val="00324508"/>
    <w:rsid w:val="003259C8"/>
    <w:rsid w:val="0032741D"/>
    <w:rsid w:val="003307FE"/>
    <w:rsid w:val="003328D9"/>
    <w:rsid w:val="003350A8"/>
    <w:rsid w:val="003376B7"/>
    <w:rsid w:val="00342369"/>
    <w:rsid w:val="003470E2"/>
    <w:rsid w:val="00352719"/>
    <w:rsid w:val="00354432"/>
    <w:rsid w:val="00355364"/>
    <w:rsid w:val="00364A60"/>
    <w:rsid w:val="00364CCB"/>
    <w:rsid w:val="0039085F"/>
    <w:rsid w:val="00392044"/>
    <w:rsid w:val="00394069"/>
    <w:rsid w:val="003A6061"/>
    <w:rsid w:val="003B6FBC"/>
    <w:rsid w:val="003D7406"/>
    <w:rsid w:val="003D7FAF"/>
    <w:rsid w:val="003E62FB"/>
    <w:rsid w:val="003F39DF"/>
    <w:rsid w:val="003F63BE"/>
    <w:rsid w:val="00403A06"/>
    <w:rsid w:val="004061AC"/>
    <w:rsid w:val="00407DBB"/>
    <w:rsid w:val="004149AC"/>
    <w:rsid w:val="00415AEF"/>
    <w:rsid w:val="0042009D"/>
    <w:rsid w:val="00427F58"/>
    <w:rsid w:val="0043199A"/>
    <w:rsid w:val="00433805"/>
    <w:rsid w:val="0046668C"/>
    <w:rsid w:val="00466850"/>
    <w:rsid w:val="00467048"/>
    <w:rsid w:val="00471408"/>
    <w:rsid w:val="004858E0"/>
    <w:rsid w:val="004934E9"/>
    <w:rsid w:val="004943C2"/>
    <w:rsid w:val="004A11A7"/>
    <w:rsid w:val="004A4D5B"/>
    <w:rsid w:val="004B5343"/>
    <w:rsid w:val="004B7A92"/>
    <w:rsid w:val="004C0259"/>
    <w:rsid w:val="004C702F"/>
    <w:rsid w:val="004D28A3"/>
    <w:rsid w:val="004D495A"/>
    <w:rsid w:val="004D75CD"/>
    <w:rsid w:val="004E5975"/>
    <w:rsid w:val="004E790A"/>
    <w:rsid w:val="004F04C1"/>
    <w:rsid w:val="004F50FD"/>
    <w:rsid w:val="004F6891"/>
    <w:rsid w:val="00500A03"/>
    <w:rsid w:val="00501495"/>
    <w:rsid w:val="00507F99"/>
    <w:rsid w:val="00512200"/>
    <w:rsid w:val="005143CD"/>
    <w:rsid w:val="005144F2"/>
    <w:rsid w:val="005242A5"/>
    <w:rsid w:val="005249DD"/>
    <w:rsid w:val="00531BA5"/>
    <w:rsid w:val="00531F10"/>
    <w:rsid w:val="00532E86"/>
    <w:rsid w:val="00540B13"/>
    <w:rsid w:val="00542434"/>
    <w:rsid w:val="00542470"/>
    <w:rsid w:val="00542546"/>
    <w:rsid w:val="005425BA"/>
    <w:rsid w:val="005454FB"/>
    <w:rsid w:val="005602F3"/>
    <w:rsid w:val="005659E4"/>
    <w:rsid w:val="005761EE"/>
    <w:rsid w:val="00582D99"/>
    <w:rsid w:val="0058551C"/>
    <w:rsid w:val="00590656"/>
    <w:rsid w:val="0059076B"/>
    <w:rsid w:val="00597E49"/>
    <w:rsid w:val="005A0F1F"/>
    <w:rsid w:val="005A2B83"/>
    <w:rsid w:val="005A478E"/>
    <w:rsid w:val="005A6675"/>
    <w:rsid w:val="005B2E9C"/>
    <w:rsid w:val="005B4F93"/>
    <w:rsid w:val="005B73D2"/>
    <w:rsid w:val="005C5E5B"/>
    <w:rsid w:val="005D2B36"/>
    <w:rsid w:val="005E1093"/>
    <w:rsid w:val="005E475E"/>
    <w:rsid w:val="005E78C0"/>
    <w:rsid w:val="005F3996"/>
    <w:rsid w:val="005F6AF6"/>
    <w:rsid w:val="005F7730"/>
    <w:rsid w:val="005F7917"/>
    <w:rsid w:val="005F7E00"/>
    <w:rsid w:val="00604C26"/>
    <w:rsid w:val="006066D2"/>
    <w:rsid w:val="0061286A"/>
    <w:rsid w:val="00613D7A"/>
    <w:rsid w:val="00614CC4"/>
    <w:rsid w:val="0062025E"/>
    <w:rsid w:val="00626998"/>
    <w:rsid w:val="006269FB"/>
    <w:rsid w:val="00631ED8"/>
    <w:rsid w:val="00635B05"/>
    <w:rsid w:val="00636DB7"/>
    <w:rsid w:val="0063783A"/>
    <w:rsid w:val="006423B9"/>
    <w:rsid w:val="00654B0D"/>
    <w:rsid w:val="00655CD8"/>
    <w:rsid w:val="006571DC"/>
    <w:rsid w:val="00660D4B"/>
    <w:rsid w:val="00664ECC"/>
    <w:rsid w:val="00670989"/>
    <w:rsid w:val="006757DC"/>
    <w:rsid w:val="00676095"/>
    <w:rsid w:val="006926A7"/>
    <w:rsid w:val="00693843"/>
    <w:rsid w:val="0069426C"/>
    <w:rsid w:val="00694DFB"/>
    <w:rsid w:val="006A1C62"/>
    <w:rsid w:val="006A48FD"/>
    <w:rsid w:val="006A67F8"/>
    <w:rsid w:val="006A7AF1"/>
    <w:rsid w:val="006B11BB"/>
    <w:rsid w:val="006B4C11"/>
    <w:rsid w:val="006C12B8"/>
    <w:rsid w:val="006C37FC"/>
    <w:rsid w:val="006C56AA"/>
    <w:rsid w:val="006C7EA3"/>
    <w:rsid w:val="006D07F3"/>
    <w:rsid w:val="006D39E9"/>
    <w:rsid w:val="006D3BE3"/>
    <w:rsid w:val="006D7004"/>
    <w:rsid w:val="006D789D"/>
    <w:rsid w:val="006D7FF8"/>
    <w:rsid w:val="006E042A"/>
    <w:rsid w:val="006E322B"/>
    <w:rsid w:val="006F49EE"/>
    <w:rsid w:val="006F5E68"/>
    <w:rsid w:val="00706D60"/>
    <w:rsid w:val="007075E3"/>
    <w:rsid w:val="00707F66"/>
    <w:rsid w:val="007125DB"/>
    <w:rsid w:val="00720D28"/>
    <w:rsid w:val="00722333"/>
    <w:rsid w:val="00722509"/>
    <w:rsid w:val="00727FCD"/>
    <w:rsid w:val="00733DDD"/>
    <w:rsid w:val="00744628"/>
    <w:rsid w:val="0074694E"/>
    <w:rsid w:val="00750CDF"/>
    <w:rsid w:val="00750D48"/>
    <w:rsid w:val="00752BA5"/>
    <w:rsid w:val="00755D86"/>
    <w:rsid w:val="00767C98"/>
    <w:rsid w:val="00770971"/>
    <w:rsid w:val="00780186"/>
    <w:rsid w:val="0078089C"/>
    <w:rsid w:val="00787D16"/>
    <w:rsid w:val="00796CA8"/>
    <w:rsid w:val="00797305"/>
    <w:rsid w:val="007B035B"/>
    <w:rsid w:val="007B4C04"/>
    <w:rsid w:val="007B5AFB"/>
    <w:rsid w:val="007C1B9B"/>
    <w:rsid w:val="007C54B1"/>
    <w:rsid w:val="007C5862"/>
    <w:rsid w:val="007F31E6"/>
    <w:rsid w:val="008014F9"/>
    <w:rsid w:val="0080358B"/>
    <w:rsid w:val="008059BD"/>
    <w:rsid w:val="00812D46"/>
    <w:rsid w:val="00815999"/>
    <w:rsid w:val="00815A38"/>
    <w:rsid w:val="0082103F"/>
    <w:rsid w:val="008279FE"/>
    <w:rsid w:val="00831259"/>
    <w:rsid w:val="0083208A"/>
    <w:rsid w:val="0083218A"/>
    <w:rsid w:val="00832A00"/>
    <w:rsid w:val="00837845"/>
    <w:rsid w:val="008442C4"/>
    <w:rsid w:val="00846739"/>
    <w:rsid w:val="00853140"/>
    <w:rsid w:val="00854537"/>
    <w:rsid w:val="008606B6"/>
    <w:rsid w:val="008635E6"/>
    <w:rsid w:val="00866CF2"/>
    <w:rsid w:val="008700EC"/>
    <w:rsid w:val="00876D65"/>
    <w:rsid w:val="00891261"/>
    <w:rsid w:val="00895A8A"/>
    <w:rsid w:val="008A09E5"/>
    <w:rsid w:val="008A21B2"/>
    <w:rsid w:val="008B2FDD"/>
    <w:rsid w:val="008C2A4F"/>
    <w:rsid w:val="008C75E7"/>
    <w:rsid w:val="008C7CA8"/>
    <w:rsid w:val="008D09EC"/>
    <w:rsid w:val="008D799F"/>
    <w:rsid w:val="008E07EB"/>
    <w:rsid w:val="008E2DCB"/>
    <w:rsid w:val="008E326D"/>
    <w:rsid w:val="008F5A8D"/>
    <w:rsid w:val="008F5F67"/>
    <w:rsid w:val="008F60F2"/>
    <w:rsid w:val="0090217D"/>
    <w:rsid w:val="00904749"/>
    <w:rsid w:val="00905C5E"/>
    <w:rsid w:val="009078DC"/>
    <w:rsid w:val="00907B61"/>
    <w:rsid w:val="009161AF"/>
    <w:rsid w:val="00921AC7"/>
    <w:rsid w:val="00922880"/>
    <w:rsid w:val="00924582"/>
    <w:rsid w:val="00931291"/>
    <w:rsid w:val="00932DC0"/>
    <w:rsid w:val="0093367D"/>
    <w:rsid w:val="00933B24"/>
    <w:rsid w:val="009431FA"/>
    <w:rsid w:val="00943BB5"/>
    <w:rsid w:val="00945AF6"/>
    <w:rsid w:val="009510DE"/>
    <w:rsid w:val="00951C43"/>
    <w:rsid w:val="0095204B"/>
    <w:rsid w:val="0095280A"/>
    <w:rsid w:val="00954A4B"/>
    <w:rsid w:val="009550BE"/>
    <w:rsid w:val="00955531"/>
    <w:rsid w:val="00955BE8"/>
    <w:rsid w:val="00957594"/>
    <w:rsid w:val="00963F40"/>
    <w:rsid w:val="00965CFB"/>
    <w:rsid w:val="0098122D"/>
    <w:rsid w:val="00986596"/>
    <w:rsid w:val="00990685"/>
    <w:rsid w:val="00991411"/>
    <w:rsid w:val="00992238"/>
    <w:rsid w:val="009A0ABE"/>
    <w:rsid w:val="009B2D4B"/>
    <w:rsid w:val="009B3243"/>
    <w:rsid w:val="009C4E99"/>
    <w:rsid w:val="009C5186"/>
    <w:rsid w:val="009C60F7"/>
    <w:rsid w:val="009D0952"/>
    <w:rsid w:val="009D54EA"/>
    <w:rsid w:val="009E285B"/>
    <w:rsid w:val="009E31DA"/>
    <w:rsid w:val="009E402C"/>
    <w:rsid w:val="009E7C6A"/>
    <w:rsid w:val="009F7ED4"/>
    <w:rsid w:val="00A03AAC"/>
    <w:rsid w:val="00A047D1"/>
    <w:rsid w:val="00A22AD0"/>
    <w:rsid w:val="00A22DA8"/>
    <w:rsid w:val="00A234BE"/>
    <w:rsid w:val="00A31671"/>
    <w:rsid w:val="00A45320"/>
    <w:rsid w:val="00A52C6D"/>
    <w:rsid w:val="00A5612C"/>
    <w:rsid w:val="00A5689C"/>
    <w:rsid w:val="00A57AE4"/>
    <w:rsid w:val="00A63F19"/>
    <w:rsid w:val="00A66F3F"/>
    <w:rsid w:val="00A66F42"/>
    <w:rsid w:val="00A727C1"/>
    <w:rsid w:val="00A76625"/>
    <w:rsid w:val="00A82CBA"/>
    <w:rsid w:val="00A83500"/>
    <w:rsid w:val="00A90049"/>
    <w:rsid w:val="00A917BF"/>
    <w:rsid w:val="00A96A94"/>
    <w:rsid w:val="00AA257D"/>
    <w:rsid w:val="00AA3A38"/>
    <w:rsid w:val="00AA4F94"/>
    <w:rsid w:val="00AB047E"/>
    <w:rsid w:val="00AC11B0"/>
    <w:rsid w:val="00AC592E"/>
    <w:rsid w:val="00AC6C10"/>
    <w:rsid w:val="00AC7BC6"/>
    <w:rsid w:val="00AD24AA"/>
    <w:rsid w:val="00AE7962"/>
    <w:rsid w:val="00AF5BA0"/>
    <w:rsid w:val="00B014D7"/>
    <w:rsid w:val="00B05049"/>
    <w:rsid w:val="00B12B7D"/>
    <w:rsid w:val="00B16985"/>
    <w:rsid w:val="00B221B8"/>
    <w:rsid w:val="00B227EA"/>
    <w:rsid w:val="00B27206"/>
    <w:rsid w:val="00B32AA7"/>
    <w:rsid w:val="00B3392B"/>
    <w:rsid w:val="00B4012D"/>
    <w:rsid w:val="00B40F64"/>
    <w:rsid w:val="00B42A76"/>
    <w:rsid w:val="00B53067"/>
    <w:rsid w:val="00B66B7D"/>
    <w:rsid w:val="00B7378D"/>
    <w:rsid w:val="00B82413"/>
    <w:rsid w:val="00B85352"/>
    <w:rsid w:val="00B87214"/>
    <w:rsid w:val="00B912D0"/>
    <w:rsid w:val="00B92FF5"/>
    <w:rsid w:val="00B959E6"/>
    <w:rsid w:val="00BA0A6A"/>
    <w:rsid w:val="00BA40BB"/>
    <w:rsid w:val="00BA4338"/>
    <w:rsid w:val="00BA604D"/>
    <w:rsid w:val="00BB6813"/>
    <w:rsid w:val="00BC4585"/>
    <w:rsid w:val="00BC50F1"/>
    <w:rsid w:val="00BC73E5"/>
    <w:rsid w:val="00BD7473"/>
    <w:rsid w:val="00BD7703"/>
    <w:rsid w:val="00BE12B4"/>
    <w:rsid w:val="00BE3D2D"/>
    <w:rsid w:val="00BE420D"/>
    <w:rsid w:val="00C11A5E"/>
    <w:rsid w:val="00C21520"/>
    <w:rsid w:val="00C222B2"/>
    <w:rsid w:val="00C225FB"/>
    <w:rsid w:val="00C41870"/>
    <w:rsid w:val="00C46B88"/>
    <w:rsid w:val="00C5218C"/>
    <w:rsid w:val="00C52191"/>
    <w:rsid w:val="00C5642F"/>
    <w:rsid w:val="00C57A3E"/>
    <w:rsid w:val="00C63554"/>
    <w:rsid w:val="00C71497"/>
    <w:rsid w:val="00C72F5B"/>
    <w:rsid w:val="00C73619"/>
    <w:rsid w:val="00C73BCD"/>
    <w:rsid w:val="00C77AEF"/>
    <w:rsid w:val="00C77E37"/>
    <w:rsid w:val="00C86EB7"/>
    <w:rsid w:val="00C87129"/>
    <w:rsid w:val="00C91E1B"/>
    <w:rsid w:val="00CA2BD3"/>
    <w:rsid w:val="00CA4677"/>
    <w:rsid w:val="00CA5FD5"/>
    <w:rsid w:val="00CA7703"/>
    <w:rsid w:val="00CB0F92"/>
    <w:rsid w:val="00CC5D1F"/>
    <w:rsid w:val="00CD4E6D"/>
    <w:rsid w:val="00CD5707"/>
    <w:rsid w:val="00CD7702"/>
    <w:rsid w:val="00CD7FC9"/>
    <w:rsid w:val="00CE0716"/>
    <w:rsid w:val="00CE075A"/>
    <w:rsid w:val="00CE29EA"/>
    <w:rsid w:val="00CF47EB"/>
    <w:rsid w:val="00CF6572"/>
    <w:rsid w:val="00CF7885"/>
    <w:rsid w:val="00D02347"/>
    <w:rsid w:val="00D04755"/>
    <w:rsid w:val="00D13737"/>
    <w:rsid w:val="00D15D27"/>
    <w:rsid w:val="00D1638E"/>
    <w:rsid w:val="00D21D10"/>
    <w:rsid w:val="00D21FFF"/>
    <w:rsid w:val="00D272A5"/>
    <w:rsid w:val="00D43AFB"/>
    <w:rsid w:val="00D5071D"/>
    <w:rsid w:val="00D564C7"/>
    <w:rsid w:val="00D57B7C"/>
    <w:rsid w:val="00D62BEE"/>
    <w:rsid w:val="00D65B44"/>
    <w:rsid w:val="00D8099B"/>
    <w:rsid w:val="00D866A8"/>
    <w:rsid w:val="00D87469"/>
    <w:rsid w:val="00D90B03"/>
    <w:rsid w:val="00D92F47"/>
    <w:rsid w:val="00D94B8D"/>
    <w:rsid w:val="00D96C8D"/>
    <w:rsid w:val="00DA2876"/>
    <w:rsid w:val="00DA718D"/>
    <w:rsid w:val="00DB0A8D"/>
    <w:rsid w:val="00DB348F"/>
    <w:rsid w:val="00DC0B51"/>
    <w:rsid w:val="00DD03DC"/>
    <w:rsid w:val="00DD5919"/>
    <w:rsid w:val="00DE27F7"/>
    <w:rsid w:val="00E06069"/>
    <w:rsid w:val="00E115C0"/>
    <w:rsid w:val="00E44E18"/>
    <w:rsid w:val="00E54301"/>
    <w:rsid w:val="00E5483F"/>
    <w:rsid w:val="00E55ABD"/>
    <w:rsid w:val="00E60817"/>
    <w:rsid w:val="00E6412C"/>
    <w:rsid w:val="00E645C0"/>
    <w:rsid w:val="00E8246B"/>
    <w:rsid w:val="00E90C35"/>
    <w:rsid w:val="00EA70F1"/>
    <w:rsid w:val="00EB2516"/>
    <w:rsid w:val="00EB2C07"/>
    <w:rsid w:val="00EB374A"/>
    <w:rsid w:val="00EB3CE7"/>
    <w:rsid w:val="00EB572F"/>
    <w:rsid w:val="00EC1B4D"/>
    <w:rsid w:val="00ED040B"/>
    <w:rsid w:val="00ED62BE"/>
    <w:rsid w:val="00EF17AB"/>
    <w:rsid w:val="00EF56B5"/>
    <w:rsid w:val="00EF6FA5"/>
    <w:rsid w:val="00F078B5"/>
    <w:rsid w:val="00F11104"/>
    <w:rsid w:val="00F126C4"/>
    <w:rsid w:val="00F13122"/>
    <w:rsid w:val="00F16E3F"/>
    <w:rsid w:val="00F171C5"/>
    <w:rsid w:val="00F22499"/>
    <w:rsid w:val="00F22B0F"/>
    <w:rsid w:val="00F234A0"/>
    <w:rsid w:val="00F24B42"/>
    <w:rsid w:val="00F24F73"/>
    <w:rsid w:val="00F27299"/>
    <w:rsid w:val="00F31F6E"/>
    <w:rsid w:val="00F3389C"/>
    <w:rsid w:val="00F375F2"/>
    <w:rsid w:val="00F40868"/>
    <w:rsid w:val="00F54EAE"/>
    <w:rsid w:val="00F66A51"/>
    <w:rsid w:val="00F71057"/>
    <w:rsid w:val="00F71A4B"/>
    <w:rsid w:val="00F728CF"/>
    <w:rsid w:val="00F743D4"/>
    <w:rsid w:val="00F83B17"/>
    <w:rsid w:val="00F87EDA"/>
    <w:rsid w:val="00F932F8"/>
    <w:rsid w:val="00F970EE"/>
    <w:rsid w:val="00FA6BEC"/>
    <w:rsid w:val="00FB0BC9"/>
    <w:rsid w:val="00FB0F9B"/>
    <w:rsid w:val="00FB41D3"/>
    <w:rsid w:val="00FB4F70"/>
    <w:rsid w:val="00FB5EFC"/>
    <w:rsid w:val="00FB77BB"/>
    <w:rsid w:val="00FC15AA"/>
    <w:rsid w:val="00FD1375"/>
    <w:rsid w:val="00FD359E"/>
    <w:rsid w:val="00FD5F37"/>
    <w:rsid w:val="00FE0A17"/>
    <w:rsid w:val="00FE179F"/>
    <w:rsid w:val="00FF213A"/>
    <w:rsid w:val="00FF3C2E"/>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4097"/>
    <o:shapelayout v:ext="edit">
      <o:idmap v:ext="edit" data="1"/>
    </o:shapelayout>
  </w:shapeDefaults>
  <w:decimalSymbol w:val="."/>
  <w:listSeparator w:val=","/>
  <w15:docId w15:val="{D4DB4A09-ABA9-4DFA-A379-75FDB176D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b/>
      <w:bCs/>
      <w:kern w:val="0"/>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4061AC"/>
    <w:rPr>
      <w:rFonts w:ascii="Times New Roman" w:eastAsia="宋体" w:hAnsi="Times New Roman" w:cs="Times New Roman"/>
      <w:b/>
      <w:bCs/>
      <w:kern w:val="44"/>
      <w:sz w:val="44"/>
      <w:szCs w:val="44"/>
    </w:rPr>
  </w:style>
  <w:style w:type="character" w:customStyle="1" w:styleId="2Char">
    <w:name w:val="标题 2 Char"/>
    <w:link w:val="2"/>
    <w:uiPriority w:val="99"/>
    <w:locked/>
    <w:rsid w:val="004061AC"/>
    <w:rPr>
      <w:rFonts w:ascii="Arial" w:eastAsia="宋体" w:hAnsi="Arial" w:cs="Arial"/>
      <w:b/>
      <w:bCs/>
      <w:sz w:val="24"/>
      <w:szCs w:val="24"/>
    </w:rPr>
  </w:style>
  <w:style w:type="character" w:customStyle="1" w:styleId="3Char">
    <w:name w:val="标题 3 Char"/>
    <w:link w:val="3"/>
    <w:uiPriority w:val="99"/>
    <w:locked/>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kern w:val="0"/>
      <w:sz w:val="24"/>
      <w:szCs w:val="24"/>
    </w:rPr>
  </w:style>
  <w:style w:type="character" w:customStyle="1" w:styleId="Char">
    <w:name w:val="正文文本缩进 Char"/>
    <w:link w:val="a4"/>
    <w:uiPriority w:val="99"/>
    <w:locked/>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kern w:val="0"/>
    </w:rPr>
  </w:style>
  <w:style w:type="character" w:customStyle="1" w:styleId="Char0">
    <w:name w:val="纯文本 Char"/>
    <w:link w:val="a5"/>
    <w:uiPriority w:val="99"/>
    <w:locked/>
    <w:rsid w:val="004061AC"/>
    <w:rPr>
      <w:rFonts w:ascii="宋体" w:eastAsia="宋体" w:hAnsi="Courier New" w:cs="宋体"/>
      <w:sz w:val="21"/>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olor w:val="FF0000"/>
      <w:kern w:val="0"/>
      <w:sz w:val="24"/>
      <w:szCs w:val="24"/>
    </w:rPr>
  </w:style>
  <w:style w:type="character" w:customStyle="1" w:styleId="2Char0">
    <w:name w:val="正文文本缩进 2 Char"/>
    <w:link w:val="20"/>
    <w:uiPriority w:val="99"/>
    <w:locked/>
    <w:rsid w:val="004061AC"/>
    <w:rPr>
      <w:rFonts w:ascii="宋体" w:eastAsia="宋体" w:hAnsi="宋体" w:cs="宋体"/>
      <w:color w:val="FF0000"/>
      <w:sz w:val="24"/>
      <w:szCs w:val="24"/>
    </w:rPr>
  </w:style>
  <w:style w:type="paragraph" w:styleId="a6">
    <w:name w:val="footer"/>
    <w:basedOn w:val="a"/>
    <w:link w:val="Char1"/>
    <w:uiPriority w:val="99"/>
    <w:rsid w:val="004061AC"/>
    <w:pPr>
      <w:tabs>
        <w:tab w:val="center" w:pos="4153"/>
        <w:tab w:val="right" w:pos="8306"/>
      </w:tabs>
      <w:snapToGrid w:val="0"/>
      <w:jc w:val="left"/>
    </w:pPr>
    <w:rPr>
      <w:kern w:val="0"/>
      <w:sz w:val="18"/>
      <w:szCs w:val="18"/>
    </w:rPr>
  </w:style>
  <w:style w:type="character" w:customStyle="1" w:styleId="Char1">
    <w:name w:val="页脚 Char"/>
    <w:link w:val="a6"/>
    <w:uiPriority w:val="99"/>
    <w:locked/>
    <w:rsid w:val="004061AC"/>
    <w:rPr>
      <w:rFonts w:ascii="Times New Roman" w:eastAsia="宋体" w:hAnsi="Times New Roman" w:cs="Times New Roman"/>
      <w:sz w:val="18"/>
      <w:szCs w:val="18"/>
    </w:rPr>
  </w:style>
  <w:style w:type="character" w:styleId="a7">
    <w:name w:val="page number"/>
    <w:uiPriority w:val="99"/>
    <w:rsid w:val="004061AC"/>
    <w:rPr>
      <w:rFonts w:cs="Times New Roman"/>
    </w:rPr>
  </w:style>
  <w:style w:type="character" w:styleId="a8">
    <w:name w:val="Hyperlink"/>
    <w:uiPriority w:val="99"/>
    <w:rsid w:val="004061AC"/>
    <w:rPr>
      <w:rFonts w:cs="Times New Roman"/>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olor w:val="FF0000"/>
      <w:kern w:val="0"/>
    </w:rPr>
  </w:style>
  <w:style w:type="character" w:customStyle="1" w:styleId="3Char0">
    <w:name w:val="正文文本缩进 3 Char"/>
    <w:link w:val="30"/>
    <w:uiPriority w:val="99"/>
    <w:locked/>
    <w:rsid w:val="004061AC"/>
    <w:rPr>
      <w:rFonts w:ascii="Arial" w:eastAsia="宋体" w:hAnsi="Arial" w:cs="Arial"/>
      <w:color w:val="FF0000"/>
      <w:sz w:val="21"/>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link w:val="a9"/>
    <w:uiPriority w:val="99"/>
    <w:locked/>
    <w:rsid w:val="004061AC"/>
    <w:rPr>
      <w:rFonts w:ascii="Times New Roman" w:eastAsia="宋体" w:hAnsi="Times New Roman" w:cs="Times New Roman"/>
      <w:sz w:val="18"/>
      <w:szCs w:val="18"/>
    </w:rPr>
  </w:style>
  <w:style w:type="character" w:styleId="aa">
    <w:name w:val="FollowedHyperlink"/>
    <w:uiPriority w:val="99"/>
    <w:rsid w:val="004061AC"/>
    <w:rPr>
      <w:rFonts w:cs="Times New Roman"/>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rPr>
      <w:kern w:val="0"/>
    </w:rPr>
  </w:style>
  <w:style w:type="character" w:customStyle="1" w:styleId="Char3">
    <w:name w:val="正文文本 Char"/>
    <w:link w:val="ac"/>
    <w:uiPriority w:val="99"/>
    <w:locked/>
    <w:rsid w:val="004061AC"/>
    <w:rPr>
      <w:rFonts w:ascii="Times New Roman" w:eastAsia="宋体" w:hAnsi="Times New Roman" w:cs="Times New Roman"/>
      <w:sz w:val="21"/>
      <w:szCs w:val="21"/>
    </w:rPr>
  </w:style>
  <w:style w:type="paragraph" w:styleId="ad">
    <w:name w:val="Date"/>
    <w:basedOn w:val="a"/>
    <w:next w:val="a"/>
    <w:link w:val="Char4"/>
    <w:uiPriority w:val="99"/>
    <w:rsid w:val="004061AC"/>
    <w:rPr>
      <w:kern w:val="0"/>
      <w:sz w:val="24"/>
      <w:szCs w:val="24"/>
    </w:rPr>
  </w:style>
  <w:style w:type="character" w:customStyle="1" w:styleId="Char4">
    <w:name w:val="日期 Char"/>
    <w:link w:val="ad"/>
    <w:uiPriority w:val="99"/>
    <w:locked/>
    <w:rsid w:val="004061AC"/>
    <w:rPr>
      <w:rFonts w:ascii="Times New Roman" w:eastAsia="宋体" w:hAnsi="Times New Roman" w:cs="Times New Roman"/>
      <w:sz w:val="24"/>
      <w:szCs w:val="24"/>
    </w:rPr>
  </w:style>
  <w:style w:type="character" w:customStyle="1" w:styleId="c1">
    <w:name w:val="c1"/>
    <w:uiPriority w:val="99"/>
    <w:rsid w:val="004061AC"/>
    <w:rPr>
      <w:rFonts w:cs="Times New Roman"/>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kern w:val="0"/>
      <w:sz w:val="18"/>
      <w:szCs w:val="18"/>
    </w:rPr>
  </w:style>
  <w:style w:type="character" w:customStyle="1" w:styleId="Char5">
    <w:name w:val="批注框文本 Char"/>
    <w:link w:val="ae"/>
    <w:uiPriority w:val="99"/>
    <w:semiHidden/>
    <w:locked/>
    <w:rsid w:val="004061AC"/>
    <w:rPr>
      <w:rFonts w:ascii="Times New Roman" w:eastAsia="宋体" w:hAnsi="Times New Roman" w:cs="Times New Roman"/>
      <w:sz w:val="18"/>
      <w:szCs w:val="18"/>
    </w:rPr>
  </w:style>
  <w:style w:type="character" w:styleId="af">
    <w:name w:val="annotation reference"/>
    <w:uiPriority w:val="99"/>
    <w:semiHidden/>
    <w:rsid w:val="004061AC"/>
    <w:rPr>
      <w:rFonts w:cs="Times New Roman"/>
      <w:sz w:val="21"/>
      <w:szCs w:val="21"/>
    </w:rPr>
  </w:style>
  <w:style w:type="paragraph" w:styleId="af0">
    <w:name w:val="annotation text"/>
    <w:basedOn w:val="a"/>
    <w:link w:val="Char6"/>
    <w:uiPriority w:val="99"/>
    <w:semiHidden/>
    <w:rsid w:val="004061AC"/>
    <w:pPr>
      <w:jc w:val="left"/>
    </w:pPr>
    <w:rPr>
      <w:kern w:val="0"/>
    </w:rPr>
  </w:style>
  <w:style w:type="character" w:customStyle="1" w:styleId="Char6">
    <w:name w:val="批注文字 Char"/>
    <w:link w:val="af0"/>
    <w:uiPriority w:val="99"/>
    <w:semiHidden/>
    <w:locked/>
    <w:rsid w:val="004061AC"/>
    <w:rPr>
      <w:rFonts w:ascii="Times New Roman" w:eastAsia="宋体" w:hAnsi="Times New Roman" w:cs="Times New Roman"/>
      <w:sz w:val="21"/>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link w:val="af1"/>
    <w:uiPriority w:val="99"/>
    <w:semiHidden/>
    <w:locked/>
    <w:rsid w:val="004061AC"/>
    <w:rPr>
      <w:rFonts w:ascii="Times New Roman" w:eastAsia="宋体" w:hAnsi="Times New Roman" w:cs="Times New Roman"/>
      <w:b/>
      <w:bCs/>
      <w:sz w:val="21"/>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rPr>
      <w:kern w:val="0"/>
    </w:rPr>
  </w:style>
  <w:style w:type="character" w:customStyle="1" w:styleId="Char9">
    <w:name w:val="文档结构图 Char"/>
    <w:link w:val="af2"/>
    <w:uiPriority w:val="99"/>
    <w:semiHidden/>
    <w:locked/>
    <w:rsid w:val="004061AC"/>
    <w:rPr>
      <w:rFonts w:ascii="Times New Roman" w:eastAsia="宋体" w:hAnsi="Times New Roman" w:cs="Times New Roman"/>
      <w:sz w:val="21"/>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uiPriority w:val="99"/>
    <w:rsid w:val="004061AC"/>
    <w:pPr>
      <w:snapToGrid w:val="0"/>
      <w:jc w:val="left"/>
    </w:pPr>
    <w:rPr>
      <w:kern w:val="0"/>
      <w:sz w:val="18"/>
      <w:szCs w:val="18"/>
    </w:rPr>
  </w:style>
  <w:style w:type="character" w:customStyle="1" w:styleId="Chara">
    <w:name w:val="脚注文本 Char"/>
    <w:link w:val="af4"/>
    <w:uiPriority w:val="99"/>
    <w:locked/>
    <w:rsid w:val="004061AC"/>
    <w:rPr>
      <w:rFonts w:ascii="Times New Roman" w:eastAsia="宋体" w:hAnsi="Times New Roman" w:cs="Times New Roman"/>
      <w:sz w:val="18"/>
      <w:szCs w:val="18"/>
    </w:rPr>
  </w:style>
  <w:style w:type="character" w:styleId="af5">
    <w:name w:val="footnote reference"/>
    <w:uiPriority w:val="99"/>
    <w:rsid w:val="004061AC"/>
    <w:rPr>
      <w:rFonts w:cs="Times New Roman"/>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b/>
      <w:bCs/>
      <w:kern w:val="0"/>
      <w:sz w:val="32"/>
      <w:szCs w:val="32"/>
    </w:rPr>
  </w:style>
  <w:style w:type="character" w:customStyle="1" w:styleId="Charb">
    <w:name w:val="标题 Char"/>
    <w:link w:val="af8"/>
    <w:uiPriority w:val="99"/>
    <w:locked/>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99"/>
    <w:qFormat/>
    <w:rsid w:val="004061AC"/>
    <w:rPr>
      <w:rFonts w:cs="Calibri"/>
      <w:sz w:val="22"/>
      <w:szCs w:val="22"/>
    </w:rPr>
  </w:style>
  <w:style w:type="character" w:customStyle="1" w:styleId="Charc">
    <w:name w:val="无间隔 Char"/>
    <w:link w:val="af9"/>
    <w:uiPriority w:val="99"/>
    <w:locked/>
    <w:rsid w:val="004061AC"/>
    <w:rPr>
      <w:rFonts w:cs="Calibri"/>
      <w:sz w:val="22"/>
      <w:szCs w:val="22"/>
      <w:lang w:val="en-US" w:eastAsia="zh-CN" w:bidi="ar-SA"/>
    </w:rPr>
  </w:style>
  <w:style w:type="character" w:customStyle="1" w:styleId="t1">
    <w:name w:val="t1"/>
    <w:uiPriority w:val="99"/>
    <w:rsid w:val="004061AC"/>
    <w:rPr>
      <w:rFonts w:cs="Times New Roman"/>
      <w:color w:val="auto"/>
    </w:rPr>
  </w:style>
  <w:style w:type="paragraph" w:styleId="afa">
    <w:name w:val="List Paragraph"/>
    <w:basedOn w:val="a"/>
    <w:uiPriority w:val="99"/>
    <w:qFormat/>
    <w:rsid w:val="00154BE1"/>
    <w:pPr>
      <w:ind w:firstLineChars="200" w:firstLine="420"/>
    </w:pPr>
  </w:style>
  <w:style w:type="paragraph" w:customStyle="1" w:styleId="Default">
    <w:name w:val="Default"/>
    <w:uiPriority w:val="99"/>
    <w:rsid w:val="00275745"/>
    <w:pPr>
      <w:widowControl w:val="0"/>
      <w:autoSpaceDE w:val="0"/>
      <w:autoSpaceDN w:val="0"/>
      <w:adjustRightInd w:val="0"/>
    </w:pPr>
    <w:rPr>
      <w:rFonts w:ascii="FangSong" w:hAnsi="FangSong" w:cs="FangSong"/>
      <w:color w:val="000000"/>
      <w:sz w:val="24"/>
      <w:szCs w:val="24"/>
    </w:rPr>
  </w:style>
  <w:style w:type="character" w:styleId="afb">
    <w:name w:val="Strong"/>
    <w:uiPriority w:val="22"/>
    <w:qFormat/>
    <w:locked/>
    <w:rsid w:val="00D874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8932">
      <w:bodyDiv w:val="1"/>
      <w:marLeft w:val="0"/>
      <w:marRight w:val="0"/>
      <w:marTop w:val="0"/>
      <w:marBottom w:val="0"/>
      <w:divBdr>
        <w:top w:val="none" w:sz="0" w:space="0" w:color="auto"/>
        <w:left w:val="none" w:sz="0" w:space="0" w:color="auto"/>
        <w:bottom w:val="none" w:sz="0" w:space="0" w:color="auto"/>
        <w:right w:val="none" w:sz="0" w:space="0" w:color="auto"/>
      </w:divBdr>
    </w:div>
    <w:div w:id="105783393">
      <w:bodyDiv w:val="1"/>
      <w:marLeft w:val="0"/>
      <w:marRight w:val="0"/>
      <w:marTop w:val="0"/>
      <w:marBottom w:val="0"/>
      <w:divBdr>
        <w:top w:val="none" w:sz="0" w:space="0" w:color="auto"/>
        <w:left w:val="none" w:sz="0" w:space="0" w:color="auto"/>
        <w:bottom w:val="none" w:sz="0" w:space="0" w:color="auto"/>
        <w:right w:val="none" w:sz="0" w:space="0" w:color="auto"/>
      </w:divBdr>
    </w:div>
    <w:div w:id="1494878767">
      <w:marLeft w:val="0"/>
      <w:marRight w:val="0"/>
      <w:marTop w:val="0"/>
      <w:marBottom w:val="0"/>
      <w:divBdr>
        <w:top w:val="none" w:sz="0" w:space="0" w:color="auto"/>
        <w:left w:val="none" w:sz="0" w:space="0" w:color="auto"/>
        <w:bottom w:val="none" w:sz="0" w:space="0" w:color="auto"/>
        <w:right w:val="none" w:sz="0" w:space="0" w:color="auto"/>
      </w:divBdr>
    </w:div>
    <w:div w:id="1494878768">
      <w:marLeft w:val="0"/>
      <w:marRight w:val="0"/>
      <w:marTop w:val="0"/>
      <w:marBottom w:val="0"/>
      <w:divBdr>
        <w:top w:val="none" w:sz="0" w:space="0" w:color="auto"/>
        <w:left w:val="none" w:sz="0" w:space="0" w:color="auto"/>
        <w:bottom w:val="none" w:sz="0" w:space="0" w:color="auto"/>
        <w:right w:val="none" w:sz="0" w:space="0" w:color="auto"/>
      </w:divBdr>
    </w:div>
    <w:div w:id="1830948889">
      <w:bodyDiv w:val="1"/>
      <w:marLeft w:val="0"/>
      <w:marRight w:val="0"/>
      <w:marTop w:val="0"/>
      <w:marBottom w:val="0"/>
      <w:divBdr>
        <w:top w:val="none" w:sz="0" w:space="0" w:color="auto"/>
        <w:left w:val="none" w:sz="0" w:space="0" w:color="auto"/>
        <w:bottom w:val="none" w:sz="0" w:space="0" w:color="auto"/>
        <w:right w:val="none" w:sz="0" w:space="0" w:color="auto"/>
      </w:divBdr>
    </w:div>
    <w:div w:id="201792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10706-C258-47F8-8F56-83EDB4AA8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945</Words>
  <Characters>5392</Characters>
  <Application>Microsoft Office Word</Application>
  <DocSecurity>4</DocSecurity>
  <Lines>44</Lines>
  <Paragraphs>12</Paragraphs>
  <ScaleCrop>false</ScaleCrop>
  <Company/>
  <LinksUpToDate>false</LinksUpToDate>
  <CharactersWithSpaces>6325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efunds</cp:lastModifiedBy>
  <cp:revision>2</cp:revision>
  <dcterms:created xsi:type="dcterms:W3CDTF">2020-01-13T02:41:00Z</dcterms:created>
  <dcterms:modified xsi:type="dcterms:W3CDTF">2020-01-13T02:41:00Z</dcterms:modified>
</cp:coreProperties>
</file>